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a="http://schemas.openxmlformats.org/drawingml/2006/main">
  <w:body>
    <w:p>
      <w:pPr>
        <w:spacing w:after="120" w:before="120" w:line="300" w:lineRule="auto"/>
        <w:ind w:firstLine="0" w:start="0"/>
        <w:jc w:val="start"/>
      </w:pPr>
      <w:hyperlink r:id="rId3">
        <w:r>
          <w:rPr>
            <w:rFonts w:ascii="Rockwell Bold" w:hAnsi="Rockwell Bold" w:cs="Rockwell Bold" w:eastAsia="Rockwell Bold"/>
            <w:b/>
            <w:bCs/>
            <w:color w:val="e22658"/>
            <w:spacing w:val="23"/>
            <w:sz w:val="64"/>
            <w:szCs w:val="64"/>
          </w:rPr>
          <w:t>AI</w:t>
        </w:r>
      </w:hyperlink>
      <w:hyperlink r:id="rId4">
        <w:r>
          <w:rPr>
            <w:rFonts w:ascii="Rockwell Bold" w:hAnsi="Rockwell Bold" w:cs="Rockwell Bold" w:eastAsia="Rockwell Bold"/>
            <w:b/>
            <w:bCs/>
            <w:color w:val="e22658"/>
            <w:spacing w:val="23"/>
            <w:sz w:val="64"/>
            <w:szCs w:val="64"/>
          </w:rPr>
          <w:t>Allgorythmus</w:t>
        </w:r>
      </w:hyperlink>
      <w:hyperlink r:id="rId5">
        <w:r>
          <w:rPr>
            <w:rFonts w:ascii="Rockwell Bold" w:hAnsi="Rockwell Bold" w:cs="Rockwell Bold" w:eastAsia="Rockwell Bold"/>
            <w:b/>
            <w:bCs/>
            <w:color w:val="e22658"/>
            <w:spacing w:val="23"/>
            <w:sz w:val="64"/>
            <w:szCs w:val="64"/>
          </w:rPr>
          <w:t>Arbeiten und Beten</w:t>
        </w:r>
      </w:hyperlink>
      <w:hyperlink r:id="rId6">
        <w:r>
          <w:rPr>
            <w:rFonts w:ascii="Rockwell Bold" w:hAnsi="Rockwell Bold" w:cs="Rockwell Bold" w:eastAsia="Rockwell Bold"/>
            <w:b/>
            <w:bCs/>
            <w:color w:val="e22658"/>
            <w:spacing w:val="23"/>
            <w:sz w:val="64"/>
            <w:szCs w:val="64"/>
          </w:rPr>
          <w:t>Archeologie</w:t>
        </w:r>
      </w:hyperlink>
      <w:hyperlink r:id="rId7">
        <w:r>
          <w:rPr>
            <w:rFonts w:ascii="Rockwell Bold" w:hAnsi="Rockwell Bold" w:cs="Rockwell Bold" w:eastAsia="Rockwell Bold"/>
            <w:b/>
            <w:bCs/>
            <w:color w:val="e22658"/>
            <w:spacing w:val="23"/>
            <w:sz w:val="64"/>
            <w:szCs w:val="64"/>
          </w:rPr>
          <w:t>Artificial Intelligence</w:t>
        </w:r>
      </w:hyperlink>
      <w:hyperlink r:id="rId8">
        <w:r>
          <w:rPr>
            <w:rFonts w:ascii="Rockwell Bold" w:hAnsi="Rockwell Bold" w:cs="Rockwell Bold" w:eastAsia="Rockwell Bold"/>
            <w:b/>
            <w:bCs/>
            <w:color w:val="e22658"/>
            <w:spacing w:val="23"/>
            <w:sz w:val="64"/>
            <w:szCs w:val="64"/>
          </w:rPr>
          <w:t>Bildung</w:t>
        </w:r>
      </w:hyperlink>
      <w:hyperlink r:id="rId9">
        <w:r>
          <w:rPr>
            <w:rFonts w:ascii="Rockwell Bold" w:hAnsi="Rockwell Bold" w:cs="Rockwell Bold" w:eastAsia="Rockwell Bold"/>
            <w:b/>
            <w:bCs/>
            <w:color w:val="e22658"/>
            <w:spacing w:val="23"/>
            <w:sz w:val="64"/>
            <w:szCs w:val="64"/>
          </w:rPr>
          <w:t>Bio</w:t>
        </w:r>
      </w:hyperlink>
      <w:hyperlink r:id="rId10">
        <w:r>
          <w:rPr>
            <w:rFonts w:ascii="Rockwell Bold" w:hAnsi="Rockwell Bold" w:cs="Rockwell Bold" w:eastAsia="Rockwell Bold"/>
            <w:b/>
            <w:bCs/>
            <w:color w:val="e22658"/>
            <w:spacing w:val="23"/>
            <w:sz w:val="64"/>
            <w:szCs w:val="64"/>
          </w:rPr>
          <w:t>Bio-App</w:t>
        </w:r>
      </w:hyperlink>
      <w:hyperlink r:id="rId11">
        <w:r>
          <w:rPr>
            <w:rFonts w:ascii="Rockwell Bold" w:hAnsi="Rockwell Bold" w:cs="Rockwell Bold" w:eastAsia="Rockwell Bold"/>
            <w:b/>
            <w:bCs/>
            <w:color w:val="e22658"/>
            <w:spacing w:val="23"/>
            <w:sz w:val="64"/>
            <w:szCs w:val="64"/>
          </w:rPr>
          <w:t>CultFood</w:t>
        </w:r>
      </w:hyperlink>
      <w:hyperlink r:id="rId12">
        <w:r>
          <w:rPr>
            <w:rFonts w:ascii="Rockwell Bold" w:hAnsi="Rockwell Bold" w:cs="Rockwell Bold" w:eastAsia="Rockwell Bold"/>
            <w:b/>
            <w:bCs/>
            <w:color w:val="e22658"/>
            <w:spacing w:val="23"/>
            <w:sz w:val="64"/>
            <w:szCs w:val="64"/>
          </w:rPr>
          <w:t>Culture</w:t>
        </w:r>
      </w:hyperlink>
      <w:hyperlink r:id="rId13">
        <w:r>
          <w:rPr>
            <w:rFonts w:ascii="Rockwell Bold" w:hAnsi="Rockwell Bold" w:cs="Rockwell Bold" w:eastAsia="Rockwell Bold"/>
            <w:b/>
            <w:bCs/>
            <w:color w:val="e22658"/>
            <w:spacing w:val="23"/>
            <w:sz w:val="64"/>
            <w:szCs w:val="64"/>
          </w:rPr>
          <w:t>Diversity</w:t>
        </w:r>
      </w:hyperlink>
      <w:hyperlink r:id="rId14">
        <w:r>
          <w:rPr>
            <w:rFonts w:ascii="Rockwell Bold" w:hAnsi="Rockwell Bold" w:cs="Rockwell Bold" w:eastAsia="Rockwell Bold"/>
            <w:b/>
            <w:bCs/>
            <w:color w:val="e22658"/>
            <w:spacing w:val="23"/>
            <w:sz w:val="64"/>
            <w:szCs w:val="64"/>
          </w:rPr>
          <w:t>Flut</w:t>
        </w:r>
      </w:hyperlink>
      <w:hyperlink r:id="rId15">
        <w:r>
          <w:rPr>
            <w:rFonts w:ascii="Rockwell Bold" w:hAnsi="Rockwell Bold" w:cs="Rockwell Bold" w:eastAsia="Rockwell Bold"/>
            <w:b/>
            <w:bCs/>
            <w:color w:val="e22658"/>
            <w:spacing w:val="23"/>
            <w:sz w:val="64"/>
            <w:szCs w:val="64"/>
          </w:rPr>
          <w:t>Forschung</w:t>
        </w:r>
      </w:hyperlink>
      <w:hyperlink r:id="rId16">
        <w:r>
          <w:rPr>
            <w:rFonts w:ascii="Rockwell Bold" w:hAnsi="Rockwell Bold" w:cs="Rockwell Bold" w:eastAsia="Rockwell Bold"/>
            <w:b/>
            <w:bCs/>
            <w:color w:val="e22658"/>
            <w:spacing w:val="23"/>
            <w:sz w:val="64"/>
            <w:szCs w:val="64"/>
          </w:rPr>
          <w:t>Frieden</w:t>
        </w:r>
      </w:hyperlink>
      <w:hyperlink r:id="rId17">
        <w:r>
          <w:rPr>
            <w:rFonts w:ascii="Rockwell Bold" w:hAnsi="Rockwell Bold" w:cs="Rockwell Bold" w:eastAsia="Rockwell Bold"/>
            <w:b/>
            <w:bCs/>
            <w:color w:val="e22658"/>
            <w:spacing w:val="23"/>
            <w:sz w:val="64"/>
            <w:szCs w:val="64"/>
          </w:rPr>
          <w:t>heilen</w:t>
        </w:r>
      </w:hyperlink>
      <w:hyperlink r:id="rId18">
        <w:r>
          <w:rPr>
            <w:rFonts w:ascii="Rockwell Bold" w:hAnsi="Rockwell Bold" w:cs="Rockwell Bold" w:eastAsia="Rockwell Bold"/>
            <w:b/>
            <w:bCs/>
            <w:color w:val="e22658"/>
            <w:spacing w:val="23"/>
            <w:sz w:val="64"/>
            <w:szCs w:val="64"/>
          </w:rPr>
          <w:t>Hochwasser</w:t>
        </w:r>
      </w:hyperlink>
      <w:hyperlink r:id="rId19">
        <w:r>
          <w:rPr>
            <w:rFonts w:ascii="Rockwell Bold" w:hAnsi="Rockwell Bold" w:cs="Rockwell Bold" w:eastAsia="Rockwell Bold"/>
            <w:b/>
            <w:bCs/>
            <w:color w:val="e22658"/>
            <w:spacing w:val="23"/>
            <w:sz w:val="64"/>
            <w:szCs w:val="64"/>
          </w:rPr>
          <w:t>Holy Rosary Church</w:t>
        </w:r>
      </w:hyperlink>
      <w:hyperlink r:id="rId20">
        <w:r>
          <w:rPr>
            <w:rFonts w:ascii="Rockwell Bold" w:hAnsi="Rockwell Bold" w:cs="Rockwell Bold" w:eastAsia="Rockwell Bold"/>
            <w:b/>
            <w:bCs/>
            <w:color w:val="e22658"/>
            <w:spacing w:val="23"/>
            <w:sz w:val="64"/>
            <w:szCs w:val="64"/>
          </w:rPr>
          <w:t>KI</w:t>
        </w:r>
      </w:hyperlink>
      <w:hyperlink r:id="rId21">
        <w:r>
          <w:rPr>
            <w:rFonts w:ascii="Rockwell Bold" w:hAnsi="Rockwell Bold" w:cs="Rockwell Bold" w:eastAsia="Rockwell Bold"/>
            <w:b/>
            <w:bCs/>
            <w:color w:val="e22658"/>
            <w:spacing w:val="23"/>
            <w:sz w:val="64"/>
            <w:szCs w:val="64"/>
          </w:rPr>
          <w:t>Klima</w:t>
        </w:r>
      </w:hyperlink>
      <w:hyperlink r:id="rId22">
        <w:r>
          <w:rPr>
            <w:rFonts w:ascii="Rockwell Bold" w:hAnsi="Rockwell Bold" w:cs="Rockwell Bold" w:eastAsia="Rockwell Bold"/>
            <w:b/>
            <w:bCs/>
            <w:color w:val="e22658"/>
            <w:spacing w:val="23"/>
            <w:sz w:val="64"/>
            <w:szCs w:val="64"/>
          </w:rPr>
          <w:t>Kultur</w:t>
        </w:r>
      </w:hyperlink>
      <w:hyperlink r:id="rId23">
        <w:r>
          <w:rPr>
            <w:rFonts w:ascii="Rockwell Bold" w:hAnsi="Rockwell Bold" w:cs="Rockwell Bold" w:eastAsia="Rockwell Bold"/>
            <w:b/>
            <w:bCs/>
            <w:color w:val="e22658"/>
            <w:spacing w:val="23"/>
            <w:sz w:val="64"/>
            <w:szCs w:val="64"/>
          </w:rPr>
          <w:t>Künstliche Intelligenz</w:t>
        </w:r>
      </w:hyperlink>
      <w:hyperlink r:id="rId24">
        <w:r>
          <w:rPr>
            <w:rFonts w:ascii="Rockwell Bold" w:hAnsi="Rockwell Bold" w:cs="Rockwell Bold" w:eastAsia="Rockwell Bold"/>
            <w:b/>
            <w:bCs/>
            <w:color w:val="e22658"/>
            <w:spacing w:val="23"/>
            <w:sz w:val="64"/>
            <w:szCs w:val="64"/>
          </w:rPr>
          <w:t>Leben beschützen</w:t>
        </w:r>
      </w:hyperlink>
      <w:hyperlink r:id="rId25">
        <w:r>
          <w:rPr>
            <w:rFonts w:ascii="Rockwell Bold" w:hAnsi="Rockwell Bold" w:cs="Rockwell Bold" w:eastAsia="Rockwell Bold"/>
            <w:b/>
            <w:bCs/>
            <w:color w:val="e22658"/>
            <w:spacing w:val="23"/>
            <w:sz w:val="64"/>
            <w:szCs w:val="64"/>
          </w:rPr>
          <w:t>Lifestyle</w:t>
        </w:r>
      </w:hyperlink>
      <w:hyperlink r:id="rId26">
        <w:r>
          <w:rPr>
            <w:rFonts w:ascii="Rockwell Bold" w:hAnsi="Rockwell Bold" w:cs="Rockwell Bold" w:eastAsia="Rockwell Bold"/>
            <w:b/>
            <w:bCs/>
            <w:color w:val="e22658"/>
            <w:spacing w:val="23"/>
            <w:sz w:val="64"/>
            <w:szCs w:val="64"/>
          </w:rPr>
          <w:t>Mission</w:t>
        </w:r>
      </w:hyperlink>
      <w:hyperlink r:id="rId27">
        <w:r>
          <w:rPr>
            <w:rFonts w:ascii="Rockwell Bold" w:hAnsi="Rockwell Bold" w:cs="Rockwell Bold" w:eastAsia="Rockwell Bold"/>
            <w:b/>
            <w:bCs/>
            <w:color w:val="e22658"/>
            <w:spacing w:val="23"/>
            <w:sz w:val="64"/>
            <w:szCs w:val="64"/>
          </w:rPr>
          <w:t>Neue Erde</w:t>
        </w:r>
      </w:hyperlink>
      <w:hyperlink r:id="rId28">
        <w:r>
          <w:rPr>
            <w:rFonts w:ascii="Rockwell Bold" w:hAnsi="Rockwell Bold" w:cs="Rockwell Bold" w:eastAsia="Rockwell Bold"/>
            <w:b/>
            <w:bCs/>
            <w:color w:val="e22658"/>
            <w:spacing w:val="23"/>
            <w:sz w:val="64"/>
            <w:szCs w:val="64"/>
          </w:rPr>
          <w:t>Rosarium</w:t>
        </w:r>
      </w:hyperlink>
      <w:hyperlink r:id="rId29">
        <w:r>
          <w:rPr>
            <w:rFonts w:ascii="Rockwell Bold" w:hAnsi="Rockwell Bold" w:cs="Rockwell Bold" w:eastAsia="Rockwell Bold"/>
            <w:b/>
            <w:bCs/>
            <w:color w:val="e22658"/>
            <w:spacing w:val="23"/>
            <w:sz w:val="64"/>
            <w:szCs w:val="64"/>
          </w:rPr>
          <w:t>Rosary</w:t>
        </w:r>
      </w:hyperlink>
      <w:hyperlink r:id="rId30">
        <w:r>
          <w:rPr>
            <w:rFonts w:ascii="Rockwell Bold" w:hAnsi="Rockwell Bold" w:cs="Rockwell Bold" w:eastAsia="Rockwell Bold"/>
            <w:b/>
            <w:bCs/>
            <w:color w:val="e22658"/>
            <w:spacing w:val="23"/>
            <w:sz w:val="64"/>
            <w:szCs w:val="64"/>
          </w:rPr>
          <w:t>Rosenkranz</w:t>
        </w:r>
      </w:hyperlink>
      <w:hyperlink r:id="rId31">
        <w:r>
          <w:rPr>
            <w:rFonts w:ascii="Rockwell Bold" w:hAnsi="Rockwell Bold" w:cs="Rockwell Bold" w:eastAsia="Rockwell Bold"/>
            <w:b/>
            <w:bCs/>
            <w:color w:val="e22658"/>
            <w:spacing w:val="23"/>
            <w:sz w:val="64"/>
            <w:szCs w:val="64"/>
          </w:rPr>
          <w:t>sustainability</w:t>
        </w:r>
      </w:hyperlink>
      <w:r>
        <w:rPr>
          <w:rFonts w:ascii="Rockwell" w:hAnsi="Rockwell" w:cs="Rockwell" w:eastAsia="Rockwell"/>
          <w:color w:val="000000"/>
          <w:sz w:val="64"/>
          <w:szCs w:val="64"/>
        </w:rPr>
        <w:t xml:space="preserve">
</w:t>
      </w:r>
    </w:p>
    <w:p>
      <w:pPr>
        <w:spacing w:after="120" w:before="120" w:line="273" w:lineRule="auto"/>
        <w:ind w:firstLine="0" w:start="0"/>
        <w:jc w:val="start"/>
      </w:pPr>
      <w:r>
        <w:rPr>
          <w:rFonts w:ascii="Rockwell Ultra-Bold" w:hAnsi="Rockwell Ultra-Bold" w:cs="Rockwell Ultra-Bold" w:eastAsia="Rockwell Ultra-Bold"/>
          <w:b/>
          <w:bCs/>
          <w:color w:val="000000"/>
          <w:spacing w:val="-20"/>
          <w:sz w:val="48"/>
          <w:szCs w:val="48"/>
        </w:rPr>
        <w:t xml:space="preserve">Hügelbeetkultur die Biosiegel App mit Grok 3
</w:t>
      </w:r>
    </w:p>
    <w:p>
      <w:pPr>
        <w:spacing w:after="120" w:before="120" w:line="360" w:lineRule="auto"/>
        <w:ind w:firstLine="0" w:start="0"/>
        <w:jc w:val="start"/>
      </w:pPr>
      <w:r>
        <w:rPr>
          <w:rFonts w:ascii="Rockwell" w:hAnsi="Rockwell" w:cs="Rockwell" w:eastAsia="Rockwell"/>
          <w:color w:val="000000"/>
          <w:spacing w:val="-11"/>
          <w:sz w:val="64"/>
          <w:szCs w:val="64"/>
        </w:rPr>
        <w:t xml:space="preserve">BeitragsautorVon </w:t>
      </w:r>
      <w:hyperlink r:id="rId32">
        <w:r>
          <w:rPr>
            <w:rFonts w:ascii="Rockwell" w:hAnsi="Rockwell" w:cs="Rockwell" w:eastAsia="Rockwell"/>
            <w:color w:val="6d6d6d"/>
            <w:spacing w:val="-11"/>
            <w:sz w:val="64"/>
            <w:szCs w:val="64"/>
          </w:rPr>
          <w:t>UWE</w:t>
        </w:r>
      </w:hyperlink>
      <w:r>
        <w:rPr>
          <w:rFonts w:ascii="Rockwell" w:hAnsi="Rockwell" w:cs="Rockwell" w:eastAsia="Rockwell"/>
          <w:color w:val="000000"/>
          <w:spacing w:val="-11"/>
          <w:sz w:val="64"/>
          <w:szCs w:val="64"/>
        </w:rPr>
        <w:t xml:space="preserve">
</w:t>
      </w:r>
    </w:p>
    <w:p>
      <w:pPr>
        <w:spacing w:after="120" w:before="120" w:line="360" w:lineRule="auto"/>
        <w:ind w:firstLine="0" w:start="0"/>
        <w:jc w:val="start"/>
      </w:pPr>
      <w:r>
        <w:rPr>
          <w:rFonts w:ascii="Rockwell" w:hAnsi="Rockwell" w:cs="Rockwell" w:eastAsia="Rockwell"/>
          <w:color w:val="000000"/>
          <w:spacing w:val="-11"/>
          <w:sz w:val="64"/>
          <w:szCs w:val="64"/>
        </w:rPr>
        <w:t>Beitragsdatum</w:t>
      </w:r>
      <w:hyperlink r:id="rId33">
        <w:r>
          <w:rPr>
            <w:rFonts w:ascii="Rockwell" w:hAnsi="Rockwell" w:cs="Rockwell" w:eastAsia="Rockwell"/>
            <w:color w:val="6d6d6d"/>
            <w:spacing w:val="-11"/>
            <w:sz w:val="64"/>
            <w:szCs w:val="64"/>
          </w:rPr>
          <w:t>25. Februar 2025</w:t>
        </w:r>
      </w:hyperlink>
      <w:r>
        <w:rPr>
          <w:rFonts w:ascii="Rockwell" w:hAnsi="Rockwell" w:cs="Rockwell" w:eastAsia="Rockwell"/>
          <w:color w:val="000000"/>
          <w:spacing w:val="-11"/>
          <w:sz w:val="64"/>
          <w:szCs w:val="64"/>
        </w:rPr>
        <w:t xml:space="preserve">
</w:t>
      </w:r>
    </w:p>
    <w:p>
      <w:pPr>
        <w:spacing w:after="120" w:before="120" w:line="360" w:lineRule="auto"/>
        <w:ind w:firstLine="0" w:start="0"/>
        <w:jc w:val="start"/>
      </w:pPr>
      <w:hyperlink r:id="rId34">
        <w:r>
          <w:rPr>
            <w:rFonts w:ascii="Rockwell" w:hAnsi="Rockwell" w:cs="Rockwell" w:eastAsia="Rockwell"/>
            <w:color w:val="6d6d6d"/>
            <w:spacing w:val="-11"/>
            <w:sz w:val="64"/>
            <w:szCs w:val="64"/>
          </w:rPr>
          <w:t>Keine Kommentarezu Hügelbeetkultur die Biosiegel App mit Grok 3</w:t>
        </w:r>
      </w:hyperlink>
      <w:r>
        <w:rPr>
          <w:rFonts w:ascii="Rockwell" w:hAnsi="Rockwell" w:cs="Rockwell" w:eastAsia="Rockwell"/>
          <w:color w:val="000000"/>
          <w:spacing w:val="-11"/>
          <w:sz w:val="64"/>
          <w:szCs w:val="64"/>
        </w:rPr>
        <w:t xml:space="preserve">
</w:t>
      </w:r>
    </w:p>
    <w:p>
      <w:pPr>
        <w:spacing w:after="120" w:before="120" w:line="354" w:lineRule="auto"/>
        <w:ind w:firstLine="0" w:start="0"/>
        <w:jc w:val="start"/>
      </w:pPr>
      <w:r>
        <w:rPr>
          <w:rFonts w:ascii="Rockwell" w:hAnsi="Rockwell" w:cs="Rockwell" w:eastAsia="Rockwell"/>
          <w:color w:val="ffffff"/>
          <w:sz w:val="27"/>
          <w:szCs w:val="27"/>
          <w:highlight w:val="darkMagenta"/>
        </w:rPr>
        <w:t xml:space="preserve">Hier ist eine vollständige und präzise Antwort auf Ihre Anfrage auf Deutsch,
</w:t>
      </w:r>
    </w:p>
    <w:p>
      <w:pPr>
        <w:spacing w:after="120" w:before="120" w:line="354" w:lineRule="auto"/>
        <w:ind w:firstLine="0" w:start="0"/>
        <w:jc w:val="start"/>
      </w:pPr>
      <w:r>
        <w:rPr>
          <w:rFonts w:ascii="Rockwell" w:hAnsi="Rockwell" w:cs="Rockwell" w:eastAsia="Rockwell"/>
          <w:color w:val="ffffff"/>
          <w:sz w:val="27"/>
          <w:szCs w:val="27"/>
          <w:highlight w:val="darkMagenta"/>
        </w:rPr>
        <w:t xml:space="preserve">wie von Grok 3 beta vorgeschlagen:
</w:t>
      </w:r>
    </w:p>
    <w:p>
      <w:pPr>
        <w:spacing w:after="120" w:before="120" w:line="360" w:lineRule="auto"/>
        <w:ind w:firstLine="0" w:start="0"/>
        <w:jc w:val="start"/>
      </w:pPr>
      <w:r>
        <w:rPr>
          <w:rFonts w:ascii="Rockwell" w:hAnsi="Rockwell" w:cs="Rockwell" w:eastAsia="Rockwell"/>
          <w:color w:val="ffffff"/>
          <w:sz w:val="23"/>
          <w:szCs w:val="23"/>
          <w:highlight w:val="darkMagenta"/>
        </w:rPr>
        <w:t>Um eine App zu entwickeln, die die Ergebnisse der Biosiegelforschung mit dem Referenzsystem Hügelbeetkultur nutzbar macht – basierend auf den Analysen eines fünfjährigen Forschungsprojekts mit 7 Diplomarbeiten und 5 Doktorarbeiten, das ein Sechstel der strategischen Maßnahmen zur Einführung des Biosiegels in den Europäischen Staaten (2000) und global (2010) beigetragen hat – können Sie folgende Schritte unternehmen. Die App soll Gärtnern, Land- und Forstwirten, Ernährungswissenschaftlern, Bodenkundlern, Landschaftsgestaltern, Mikrobiologen und Privatpersonen ermöglichen, die Forschungsergebnisse einfach für ihren Anbau mit der Hügelbeetkultur zu nutzen.</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1. Zielsetzung und Grundlage</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Die Hügelbeetkultur ist eine nachhaltige Anbaumethode, bei der organische Materialien wie Holz, Kompost und Mist in einem Hügel geschichtet werden. Sie fördert fruchtbaren Boden, speichert Wasser effizient und unterstützt die biologische Vielfalt. Besonders in Regionen mit schlechten Böden oder geringer Wasserverfügbarkeit ist sie wertvoll. Als Referenzsystem für das Biosiegel zeigt sie, wie ökologischer Anbau funktioniert – ein Sechstel der Biosiegel-Standards basiert auf dieser Methode.</w:t>
      </w:r>
      <w:r>
        <w:rPr>
          <w:rFonts w:ascii="Rockwell" w:hAnsi="Rockwell" w:cs="Rockwell" w:eastAsia="Rockwell"/>
          <w:color w:val="ffffff"/>
          <w:sz w:val="27"/>
          <w:szCs w:val="27"/>
          <w:highlight w:val="darkMagenta"/>
        </w:rPr>
        <w:t xml:space="preserve">
</w:t>
      </w:r>
    </w:p>
    <w:p>
      <w:pPr>
        <w:numPr>
          <w:ilvl w:val="0"/>
          <w:numId w:val="1"/>
        </w:numPr>
        <w:spacing w:after="0" w:before="0" w:line="354" w:lineRule="auto"/>
        <w:jc w:val="start"/>
      </w:pPr>
      <w:r>
        <w:rPr>
          <w:rFonts w:ascii="Rockwell Bold" w:hAnsi="Rockwell Bold" w:cs="Rockwell Bold" w:eastAsia="Rockwell Bold"/>
          <w:b/>
          <w:bCs/>
          <w:color w:val="ffffff"/>
          <w:sz w:val="27"/>
          <w:szCs w:val="27"/>
          <w:highlight w:val="darkMagenta"/>
        </w:rPr>
        <w:t>Ziel der App:</w:t>
      </w:r>
      <w:r>
        <w:rPr>
          <w:rFonts w:ascii="Rockwell" w:hAnsi="Rockwell" w:cs="Rockwell" w:eastAsia="Rockwell"/>
          <w:color w:val="ffffff"/>
          <w:sz w:val="27"/>
          <w:szCs w:val="27"/>
          <w:highlight w:val="darkMagenta"/>
        </w:rPr>
        <w:t xml:space="preserve"> Die Forschungsergebnisse sollen für verschiedene Nutzergruppen (von Experten bis Laien) zugänglich gemacht werden, um den Anbau mit Hügelbeetkultur zu optimieren und die Prinzipien des Biosiegels praktisch umzusetzen.</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2. Relevante Forschungsergebnisse identifizieren</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Das Forschungsprojekt liefert Daten aus fünf Jahren intensiver Arbeit, die durch Diplom- und Doktorarbeiten unterstützt wurden. Diese Daten sind entscheidend, um die Hügelbeetkultur zu verbessern. Mögliche Inhalte:</w:t>
      </w:r>
      <w:r>
        <w:rPr>
          <w:rFonts w:ascii="Rockwell" w:hAnsi="Rockwell" w:cs="Rockwell" w:eastAsia="Rockwell"/>
          <w:color w:val="ffffff"/>
          <w:sz w:val="27"/>
          <w:szCs w:val="27"/>
          <w:highlight w:val="darkMagenta"/>
        </w:rPr>
        <w:t xml:space="preserve">
</w:t>
      </w:r>
    </w:p>
    <w:p>
      <w:pPr>
        <w:numPr>
          <w:ilvl w:val="0"/>
          <w:numId w:val="2"/>
        </w:numPr>
        <w:spacing w:after="0" w:before="0" w:line="354" w:lineRule="auto"/>
        <w:jc w:val="start"/>
      </w:pPr>
      <w:r>
        <w:rPr>
          <w:rFonts w:ascii="Rockwell" w:hAnsi="Rockwell" w:cs="Rockwell" w:eastAsia="Rockwell"/>
          <w:color w:val="ffffff"/>
          <w:sz w:val="27"/>
          <w:szCs w:val="27"/>
          <w:highlight w:val="darkMagenta"/>
        </w:rPr>
        <w:t>Bodenqualität (z. B. optimale Mischungen aus Kompost, Holz, Erde)</w:t>
      </w:r>
      <w:r>
        <w:rPr>
          <w:rFonts w:ascii="Rockwell" w:hAnsi="Rockwell" w:cs="Rockwell" w:eastAsia="Rockwell"/>
          <w:color w:val="ffffff"/>
          <w:sz w:val="27"/>
          <w:szCs w:val="27"/>
          <w:highlight w:val="darkMagenta"/>
        </w:rPr>
        <w:t xml:space="preserve">
</w:t>
      </w:r>
    </w:p>
    <w:p>
      <w:pPr>
        <w:numPr>
          <w:ilvl w:val="0"/>
          <w:numId w:val="2"/>
        </w:numPr>
        <w:spacing w:after="0" w:before="0" w:line="354" w:lineRule="auto"/>
        <w:jc w:val="start"/>
      </w:pPr>
      <w:r>
        <w:rPr>
          <w:rFonts w:ascii="Rockwell" w:hAnsi="Rockwell" w:cs="Rockwell" w:eastAsia="Rockwell"/>
          <w:color w:val="ffffff"/>
          <w:sz w:val="27"/>
          <w:szCs w:val="27"/>
          <w:highlight w:val="darkMagenta"/>
        </w:rPr>
        <w:t>Pflanzenwachstum (z. B. geeignete Arten für Hügelbeete)</w:t>
      </w:r>
      <w:r>
        <w:rPr>
          <w:rFonts w:ascii="Rockwell" w:hAnsi="Rockwell" w:cs="Rockwell" w:eastAsia="Rockwell"/>
          <w:color w:val="ffffff"/>
          <w:sz w:val="27"/>
          <w:szCs w:val="27"/>
          <w:highlight w:val="darkMagenta"/>
        </w:rPr>
        <w:t xml:space="preserve">
</w:t>
      </w:r>
    </w:p>
    <w:p>
      <w:pPr>
        <w:numPr>
          <w:ilvl w:val="0"/>
          <w:numId w:val="2"/>
        </w:numPr>
        <w:spacing w:after="0" w:before="0" w:line="354" w:lineRule="auto"/>
        <w:jc w:val="start"/>
      </w:pPr>
      <w:r>
        <w:rPr>
          <w:rFonts w:ascii="Rockwell" w:hAnsi="Rockwell" w:cs="Rockwell" w:eastAsia="Rockwell"/>
          <w:color w:val="ffffff"/>
          <w:sz w:val="27"/>
          <w:szCs w:val="27"/>
          <w:highlight w:val="darkMagenta"/>
        </w:rPr>
        <w:t>Ökologische Einflüsse (z. B. Wasserretention, Mikrobiologie)</w:t>
      </w:r>
      <w:r>
        <w:rPr>
          <w:rFonts w:ascii="Rockwell" w:hAnsi="Rockwell" w:cs="Rockwell" w:eastAsia="Rockwell"/>
          <w:color w:val="ffffff"/>
          <w:sz w:val="27"/>
          <w:szCs w:val="27"/>
          <w:highlight w:val="darkMagenta"/>
        </w:rPr>
        <w:t xml:space="preserve">
</w:t>
      </w:r>
    </w:p>
    <w:p>
      <w:pPr>
        <w:numPr>
          <w:ilvl w:val="0"/>
          <w:numId w:val="2"/>
        </w:numPr>
        <w:spacing w:after="0" w:before="0" w:line="354" w:lineRule="auto"/>
        <w:jc w:val="start"/>
      </w:pPr>
      <w:r>
        <w:rPr>
          <w:rFonts w:ascii="Rockwell" w:hAnsi="Rockwell" w:cs="Rockwell" w:eastAsia="Rockwell"/>
          <w:color w:val="ffffff"/>
          <w:sz w:val="27"/>
          <w:szCs w:val="27"/>
          <w:highlight w:val="darkMagenta"/>
        </w:rPr>
        <w:t>Nachhaltige Praktiken (z. B. Bewässerungs- und Pflegestrategien)</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Diese Informationen wurden in Matrizen strukturiert, die analysiert werden können, um praktische Empfehlungen abzuleiten.</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3. Funktionen der App definieren</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Die App sollte Funktionen bieten, die sowohl informativ als auch anwendungsorientiert sind. Hier einige Vorschläge:</w:t>
      </w:r>
      <w:r>
        <w:rPr>
          <w:rFonts w:ascii="Rockwell" w:hAnsi="Rockwell" w:cs="Rockwell" w:eastAsia="Rockwell"/>
          <w:color w:val="ffffff"/>
          <w:sz w:val="27"/>
          <w:szCs w:val="27"/>
          <w:highlight w:val="darkMagenta"/>
        </w:rPr>
        <w:t xml:space="preserve">
</w:t>
      </w:r>
    </w:p>
    <w:p>
      <w:pPr>
        <w:numPr>
          <w:ilvl w:val="0"/>
          <w:numId w:val="3"/>
        </w:numPr>
        <w:spacing w:after="0" w:before="0" w:line="354" w:lineRule="auto"/>
        <w:jc w:val="start"/>
      </w:pPr>
      <w:r>
        <w:rPr>
          <w:rFonts w:ascii="Rockwell Bold" w:hAnsi="Rockwell Bold" w:cs="Rockwell Bold" w:eastAsia="Rockwell Bold"/>
          <w:b/>
          <w:bCs/>
          <w:color w:val="ffffff"/>
          <w:sz w:val="27"/>
          <w:szCs w:val="27"/>
          <w:highlight w:val="darkMagenta"/>
        </w:rPr>
        <w:t>Empfehlungen:</w:t>
      </w:r>
      <w:r>
        <w:rPr>
          <w:rFonts w:ascii="Rockwell" w:hAnsi="Rockwell" w:cs="Rockwell" w:eastAsia="Rockwell"/>
          <w:color w:val="ffffff"/>
          <w:sz w:val="27"/>
          <w:szCs w:val="27"/>
          <w:highlight w:val="darkMagenta"/>
        </w:rPr>
        <w:t xml:space="preserve"> Basierend auf Nutzereingaben (z. B. Standort, Bodenart, Klima) gibt die App Tipps zu Pflanzenarten, Bodenmischungen und Pflege.</w:t>
      </w:r>
      <w:r>
        <w:rPr>
          <w:rFonts w:ascii="Rockwell" w:hAnsi="Rockwell" w:cs="Rockwell" w:eastAsia="Rockwell"/>
          <w:color w:val="ffffff"/>
          <w:sz w:val="27"/>
          <w:szCs w:val="27"/>
          <w:highlight w:val="darkMagenta"/>
        </w:rPr>
        <w:t xml:space="preserve">
</w:t>
      </w:r>
    </w:p>
    <w:p>
      <w:pPr>
        <w:numPr>
          <w:ilvl w:val="0"/>
          <w:numId w:val="3"/>
        </w:numPr>
        <w:spacing w:after="0" w:before="0" w:line="354" w:lineRule="auto"/>
        <w:jc w:val="start"/>
      </w:pPr>
      <w:r>
        <w:rPr>
          <w:rFonts w:ascii="Rockwell Bold" w:hAnsi="Rockwell Bold" w:cs="Rockwell Bold" w:eastAsia="Rockwell Bold"/>
          <w:b/>
          <w:bCs/>
          <w:color w:val="ffffff"/>
          <w:sz w:val="27"/>
          <w:szCs w:val="27"/>
          <w:highlight w:val="darkMagenta"/>
        </w:rPr>
        <w:t>Simulation:</w:t>
      </w:r>
      <w:r>
        <w:rPr>
          <w:rFonts w:ascii="Rockwell" w:hAnsi="Rockwell" w:cs="Rockwell" w:eastAsia="Rockwell"/>
          <w:color w:val="ffffff"/>
          <w:sz w:val="27"/>
          <w:szCs w:val="27"/>
          <w:highlight w:val="darkMagenta"/>
        </w:rPr>
        <w:t xml:space="preserve"> Nutzer können testen, wie sich bestimmte Maßnahmen (z. B. mehr Kompost oder andere Pflanzen) auf ihr Hügelbeet auswirken.</w:t>
      </w:r>
      <w:r>
        <w:rPr>
          <w:rFonts w:ascii="Rockwell" w:hAnsi="Rockwell" w:cs="Rockwell" w:eastAsia="Rockwell"/>
          <w:color w:val="ffffff"/>
          <w:sz w:val="27"/>
          <w:szCs w:val="27"/>
          <w:highlight w:val="darkMagenta"/>
        </w:rPr>
        <w:t xml:space="preserve">
</w:t>
      </w:r>
    </w:p>
    <w:p>
      <w:pPr>
        <w:numPr>
          <w:ilvl w:val="0"/>
          <w:numId w:val="3"/>
        </w:numPr>
        <w:spacing w:after="0" w:before="0" w:line="354" w:lineRule="auto"/>
        <w:jc w:val="start"/>
      </w:pPr>
      <w:r>
        <w:rPr>
          <w:rFonts w:ascii="Rockwell Bold" w:hAnsi="Rockwell Bold" w:cs="Rockwell Bold" w:eastAsia="Rockwell Bold"/>
          <w:b/>
          <w:bCs/>
          <w:color w:val="ffffff"/>
          <w:sz w:val="27"/>
          <w:szCs w:val="27"/>
          <w:highlight w:val="darkMagenta"/>
        </w:rPr>
        <w:t>Datenvisualisierung:</w:t>
      </w:r>
      <w:r>
        <w:rPr>
          <w:rFonts w:ascii="Rockwell" w:hAnsi="Rockwell" w:cs="Rockwell" w:eastAsia="Rockwell"/>
          <w:color w:val="ffffff"/>
          <w:sz w:val="27"/>
          <w:szCs w:val="27"/>
          <w:highlight w:val="darkMagenta"/>
        </w:rPr>
        <w:t xml:space="preserve"> Die komplexen Forschungsmatrizen werden als Diagramme oder Tabellen dargestellt, leicht verständlich für alle Nutzer.</w:t>
      </w:r>
      <w:r>
        <w:rPr>
          <w:rFonts w:ascii="Rockwell" w:hAnsi="Rockwell" w:cs="Rockwell" w:eastAsia="Rockwell"/>
          <w:color w:val="ffffff"/>
          <w:sz w:val="27"/>
          <w:szCs w:val="27"/>
          <w:highlight w:val="darkMagenta"/>
        </w:rPr>
        <w:t xml:space="preserve">
</w:t>
      </w:r>
    </w:p>
    <w:p>
      <w:pPr>
        <w:numPr>
          <w:ilvl w:val="0"/>
          <w:numId w:val="3"/>
        </w:numPr>
        <w:spacing w:after="0" w:before="0" w:line="354" w:lineRule="auto"/>
        <w:jc w:val="start"/>
      </w:pPr>
      <w:r>
        <w:rPr>
          <w:rFonts w:ascii="Rockwell Bold" w:hAnsi="Rockwell Bold" w:cs="Rockwell Bold" w:eastAsia="Rockwell Bold"/>
          <w:b/>
          <w:bCs/>
          <w:color w:val="ffffff"/>
          <w:sz w:val="27"/>
          <w:szCs w:val="27"/>
          <w:highlight w:val="darkMagenta"/>
        </w:rPr>
        <w:t>Wissensdatenbank:</w:t>
      </w:r>
      <w:r>
        <w:rPr>
          <w:rFonts w:ascii="Rockwell" w:hAnsi="Rockwell" w:cs="Rockwell" w:eastAsia="Rockwell"/>
          <w:color w:val="ffffff"/>
          <w:sz w:val="27"/>
          <w:szCs w:val="27"/>
          <w:highlight w:val="darkMagenta"/>
        </w:rPr>
        <w:t xml:space="preserve"> Artikel über Hügelbeetkultur, Biosiegel-Standards und ökologische Landwirtschaft.</w:t>
      </w:r>
      <w:r>
        <w:rPr>
          <w:rFonts w:ascii="Rockwell" w:hAnsi="Rockwell" w:cs="Rockwell" w:eastAsia="Rockwell"/>
          <w:color w:val="ffffff"/>
          <w:sz w:val="27"/>
          <w:szCs w:val="27"/>
          <w:highlight w:val="darkMagenta"/>
        </w:rPr>
        <w:t xml:space="preserve">
</w:t>
      </w:r>
    </w:p>
    <w:p>
      <w:pPr>
        <w:numPr>
          <w:ilvl w:val="0"/>
          <w:numId w:val="3"/>
        </w:numPr>
        <w:spacing w:after="0" w:before="0" w:line="354" w:lineRule="auto"/>
        <w:jc w:val="start"/>
      </w:pPr>
      <w:r>
        <w:rPr>
          <w:rFonts w:ascii="Rockwell Bold" w:hAnsi="Rockwell Bold" w:cs="Rockwell Bold" w:eastAsia="Rockwell Bold"/>
          <w:b/>
          <w:bCs/>
          <w:color w:val="ffffff"/>
          <w:sz w:val="27"/>
          <w:szCs w:val="27"/>
          <w:highlight w:val="darkMagenta"/>
        </w:rPr>
        <w:t>Community-Bereich:</w:t>
      </w:r>
      <w:r>
        <w:rPr>
          <w:rFonts w:ascii="Rockwell" w:hAnsi="Rockwell" w:cs="Rockwell" w:eastAsia="Rockwell"/>
          <w:color w:val="ffffff"/>
          <w:sz w:val="27"/>
          <w:szCs w:val="27"/>
          <w:highlight w:val="darkMagenta"/>
        </w:rPr>
        <w:t xml:space="preserve"> Ein Forum, in dem Nutzer Tipps austauschen und Fragen stellen können.</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4. Benutzeroberfläche gestalten</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Die App muss intuitiv und für alle Zielgruppen zugänglich sein:</w:t>
      </w:r>
      <w:r>
        <w:rPr>
          <w:rFonts w:ascii="Rockwell" w:hAnsi="Rockwell" w:cs="Rockwell" w:eastAsia="Rockwell"/>
          <w:color w:val="ffffff"/>
          <w:sz w:val="27"/>
          <w:szCs w:val="27"/>
          <w:highlight w:val="darkMagenta"/>
        </w:rPr>
        <w:t xml:space="preserve">
</w:t>
      </w:r>
    </w:p>
    <w:p>
      <w:pPr>
        <w:numPr>
          <w:ilvl w:val="0"/>
          <w:numId w:val="4"/>
        </w:numPr>
        <w:spacing w:after="0" w:before="0" w:line="354" w:lineRule="auto"/>
        <w:jc w:val="start"/>
      </w:pPr>
      <w:r>
        <w:rPr>
          <w:rFonts w:ascii="Rockwell Bold" w:hAnsi="Rockwell Bold" w:cs="Rockwell Bold" w:eastAsia="Rockwell Bold"/>
          <w:b/>
          <w:bCs/>
          <w:color w:val="ffffff"/>
          <w:sz w:val="27"/>
          <w:szCs w:val="27"/>
          <w:highlight w:val="darkMagenta"/>
        </w:rPr>
        <w:t>Eingabe:</w:t>
      </w:r>
      <w:r>
        <w:rPr>
          <w:rFonts w:ascii="Rockwell" w:hAnsi="Rockwell" w:cs="Rockwell" w:eastAsia="Rockwell"/>
          <w:color w:val="ffffff"/>
          <w:sz w:val="27"/>
          <w:szCs w:val="27"/>
          <w:highlight w:val="darkMagenta"/>
        </w:rPr>
        <w:t xml:space="preserve"> Nutzer geben einfache Informationen ein, z. B. Größe des Hügelbeets, Bodentyp, Klima oder gewünschte Pflanzen.</w:t>
      </w:r>
      <w:r>
        <w:rPr>
          <w:rFonts w:ascii="Rockwell" w:hAnsi="Rockwell" w:cs="Rockwell" w:eastAsia="Rockwell"/>
          <w:color w:val="ffffff"/>
          <w:sz w:val="27"/>
          <w:szCs w:val="27"/>
          <w:highlight w:val="darkMagenta"/>
        </w:rPr>
        <w:t xml:space="preserve">
</w:t>
      </w:r>
    </w:p>
    <w:p>
      <w:pPr>
        <w:numPr>
          <w:ilvl w:val="0"/>
          <w:numId w:val="4"/>
        </w:numPr>
        <w:spacing w:after="0" w:before="0" w:line="354" w:lineRule="auto"/>
        <w:jc w:val="start"/>
      </w:pPr>
      <w:r>
        <w:rPr>
          <w:rFonts w:ascii="Rockwell Bold" w:hAnsi="Rockwell Bold" w:cs="Rockwell Bold" w:eastAsia="Rockwell Bold"/>
          <w:b/>
          <w:bCs/>
          <w:color w:val="ffffff"/>
          <w:sz w:val="27"/>
          <w:szCs w:val="27"/>
          <w:highlight w:val="darkMagenta"/>
        </w:rPr>
        <w:t>Ausgabe:</w:t>
      </w:r>
      <w:r>
        <w:rPr>
          <w:rFonts w:ascii="Rockwell" w:hAnsi="Rockwell" w:cs="Rockwell" w:eastAsia="Rockwell"/>
          <w:color w:val="ffffff"/>
          <w:sz w:val="27"/>
          <w:szCs w:val="27"/>
          <w:highlight w:val="darkMagenta"/>
        </w:rPr>
        <w:t xml:space="preserve"> Die App liefert maßgeschneiderte Vorschläge – z. B. „Für Ihren Standort empfehlen wir Karotten und eine Mischung aus 50 % Kompost und 30 % Holz“ – unterstützt durch Grafiken oder Schritt-für-Schritt-Anleitungen.</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5. Daten und Algorithmen nutzen</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Die Forschungsergebnisse müssen technisch umgesetzt werden:</w:t>
      </w:r>
      <w:r>
        <w:rPr>
          <w:rFonts w:ascii="Rockwell" w:hAnsi="Rockwell" w:cs="Rockwell" w:eastAsia="Rockwell"/>
          <w:color w:val="ffffff"/>
          <w:sz w:val="27"/>
          <w:szCs w:val="27"/>
          <w:highlight w:val="darkMagenta"/>
        </w:rPr>
        <w:t xml:space="preserve">
</w:t>
      </w:r>
    </w:p>
    <w:p>
      <w:pPr>
        <w:numPr>
          <w:ilvl w:val="0"/>
          <w:numId w:val="5"/>
        </w:numPr>
        <w:spacing w:after="0" w:before="0" w:line="354" w:lineRule="auto"/>
        <w:jc w:val="start"/>
      </w:pPr>
      <w:r>
        <w:rPr>
          <w:rFonts w:ascii="Rockwell Bold" w:hAnsi="Rockwell Bold" w:cs="Rockwell Bold" w:eastAsia="Rockwell Bold"/>
          <w:b/>
          <w:bCs/>
          <w:color w:val="ffffff"/>
          <w:sz w:val="27"/>
          <w:szCs w:val="27"/>
          <w:highlight w:val="darkMagenta"/>
        </w:rPr>
        <w:t>Datenbanken:</w:t>
      </w:r>
      <w:r>
        <w:rPr>
          <w:rFonts w:ascii="Rockwell" w:hAnsi="Rockwell" w:cs="Rockwell" w:eastAsia="Rockwell"/>
          <w:color w:val="ffffff"/>
          <w:sz w:val="27"/>
          <w:szCs w:val="27"/>
          <w:highlight w:val="darkMagenta"/>
        </w:rPr>
        <w:t xml:space="preserve"> Speichern der Matrizen und Daten aus der Biosiegelforschung.</w:t>
      </w:r>
      <w:r>
        <w:rPr>
          <w:rFonts w:ascii="Rockwell" w:hAnsi="Rockwell" w:cs="Rockwell" w:eastAsia="Rockwell"/>
          <w:color w:val="ffffff"/>
          <w:sz w:val="27"/>
          <w:szCs w:val="27"/>
          <w:highlight w:val="darkMagenta"/>
        </w:rPr>
        <w:t xml:space="preserve">
</w:t>
      </w:r>
    </w:p>
    <w:p>
      <w:pPr>
        <w:numPr>
          <w:ilvl w:val="0"/>
          <w:numId w:val="5"/>
        </w:numPr>
        <w:spacing w:after="0" w:before="0" w:line="354" w:lineRule="auto"/>
        <w:jc w:val="start"/>
      </w:pPr>
      <w:r>
        <w:rPr>
          <w:rFonts w:ascii="Rockwell Bold" w:hAnsi="Rockwell Bold" w:cs="Rockwell Bold" w:eastAsia="Rockwell Bold"/>
          <w:b/>
          <w:bCs/>
          <w:color w:val="ffffff"/>
          <w:sz w:val="27"/>
          <w:szCs w:val="27"/>
          <w:highlight w:val="darkMagenta"/>
        </w:rPr>
        <w:t>Algorithmen:</w:t>
      </w:r>
      <w:r>
        <w:rPr>
          <w:rFonts w:ascii="Rockwell" w:hAnsi="Rockwell" w:cs="Rockwell" w:eastAsia="Rockwell"/>
          <w:color w:val="ffffff"/>
          <w:sz w:val="27"/>
          <w:szCs w:val="27"/>
          <w:highlight w:val="darkMagenta"/>
        </w:rPr>
        <w:t xml:space="preserve"> Diese analysieren die Daten und generieren Empfehlungen. Zum Beispiel könnte ein Algorithmus Bodendaten mit Pflanzenwachstumsraten abgleichen, um die besten Optionen für ein Hügelbeet vorzuschlagen.</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Da die genauen Algorithmen nicht spezifiziert sind, wird angenommen, dass sie Datenverarbeitung und Analyse umfassen (z. B. mathematische Modelle oder statistische Methoden).</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6. Entwicklung und Testphase</w:t>
      </w:r>
      <w:r>
        <w:rPr>
          <w:rFonts w:ascii="Rockwell" w:hAnsi="Rockwell" w:cs="Rockwell" w:eastAsia="Rockwell"/>
          <w:color w:val="ffffff"/>
          <w:sz w:val="27"/>
          <w:szCs w:val="27"/>
          <w:highlight w:val="darkMagenta"/>
        </w:rPr>
        <w:t xml:space="preserve">
</w:t>
      </w:r>
    </w:p>
    <w:p>
      <w:pPr>
        <w:numPr>
          <w:ilvl w:val="0"/>
          <w:numId w:val="6"/>
        </w:numPr>
        <w:spacing w:after="0" w:before="0" w:line="354" w:lineRule="auto"/>
        <w:jc w:val="start"/>
      </w:pPr>
      <w:r>
        <w:rPr>
          <w:rFonts w:ascii="Rockwell Bold" w:hAnsi="Rockwell Bold" w:cs="Rockwell Bold" w:eastAsia="Rockwell Bold"/>
          <w:b/>
          <w:bCs/>
          <w:color w:val="ffffff"/>
          <w:sz w:val="27"/>
          <w:szCs w:val="27"/>
          <w:highlight w:val="darkMagenta"/>
        </w:rPr>
        <w:t>Prototyp:</w:t>
      </w:r>
      <w:r>
        <w:rPr>
          <w:rFonts w:ascii="Rockwell" w:hAnsi="Rockwell" w:cs="Rockwell" w:eastAsia="Rockwell"/>
          <w:color w:val="ffffff"/>
          <w:sz w:val="27"/>
          <w:szCs w:val="27"/>
          <w:highlight w:val="darkMagenta"/>
        </w:rPr>
        <w:t xml:space="preserve"> Erstellen Sie eine erste Version der App mit den grundlegenden Funktionen.</w:t>
      </w:r>
      <w:r>
        <w:rPr>
          <w:rFonts w:ascii="Rockwell" w:hAnsi="Rockwell" w:cs="Rockwell" w:eastAsia="Rockwell"/>
          <w:color w:val="ffffff"/>
          <w:sz w:val="27"/>
          <w:szCs w:val="27"/>
          <w:highlight w:val="darkMagenta"/>
        </w:rPr>
        <w:t xml:space="preserve">
</w:t>
      </w:r>
    </w:p>
    <w:p>
      <w:pPr>
        <w:numPr>
          <w:ilvl w:val="0"/>
          <w:numId w:val="6"/>
        </w:numPr>
        <w:spacing w:after="0" w:before="0" w:line="354" w:lineRule="auto"/>
        <w:jc w:val="start"/>
      </w:pPr>
      <w:r>
        <w:rPr>
          <w:rFonts w:ascii="Rockwell Bold" w:hAnsi="Rockwell Bold" w:cs="Rockwell Bold" w:eastAsia="Rockwell Bold"/>
          <w:b/>
          <w:bCs/>
          <w:color w:val="ffffff"/>
          <w:sz w:val="27"/>
          <w:szCs w:val="27"/>
          <w:highlight w:val="darkMagenta"/>
        </w:rPr>
        <w:t>Tests:</w:t>
      </w:r>
      <w:r>
        <w:rPr>
          <w:rFonts w:ascii="Rockwell" w:hAnsi="Rockwell" w:cs="Rockwell" w:eastAsia="Rockwell"/>
          <w:color w:val="ffffff"/>
          <w:sz w:val="27"/>
          <w:szCs w:val="27"/>
          <w:highlight w:val="darkMagenta"/>
        </w:rPr>
        <w:t xml:space="preserve"> Lassen Sie die App von den Zielgruppen (Gärtner, Wissenschaftler, Privatleute) testen, um Feedback zu sammeln.</w:t>
      </w:r>
      <w:r>
        <w:rPr>
          <w:rFonts w:ascii="Rockwell" w:hAnsi="Rockwell" w:cs="Rockwell" w:eastAsia="Rockwell"/>
          <w:color w:val="ffffff"/>
          <w:sz w:val="27"/>
          <w:szCs w:val="27"/>
          <w:highlight w:val="darkMagenta"/>
        </w:rPr>
        <w:t xml:space="preserve">
</w:t>
      </w:r>
    </w:p>
    <w:p>
      <w:pPr>
        <w:numPr>
          <w:ilvl w:val="0"/>
          <w:numId w:val="6"/>
        </w:numPr>
        <w:spacing w:after="0" w:before="0" w:line="354" w:lineRule="auto"/>
        <w:jc w:val="start"/>
      </w:pPr>
      <w:r>
        <w:rPr>
          <w:rFonts w:ascii="Rockwell Bold" w:hAnsi="Rockwell Bold" w:cs="Rockwell Bold" w:eastAsia="Rockwell Bold"/>
          <w:b/>
          <w:bCs/>
          <w:color w:val="ffffff"/>
          <w:sz w:val="27"/>
          <w:szCs w:val="27"/>
          <w:highlight w:val="darkMagenta"/>
        </w:rPr>
        <w:t>Optimierung:</w:t>
      </w:r>
      <w:r>
        <w:rPr>
          <w:rFonts w:ascii="Rockwell" w:hAnsi="Rockwell" w:cs="Rockwell" w:eastAsia="Rockwell"/>
          <w:color w:val="ffffff"/>
          <w:sz w:val="27"/>
          <w:szCs w:val="27"/>
          <w:highlight w:val="darkMagenta"/>
        </w:rPr>
        <w:t xml:space="preserve"> Verbessern Sie die App basierend auf den Rückmeldungen, z. B. durch Vereinfachung der Eingaben oder Hinzufügen neuer Features.</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Wirtschaftlicher und ökologischer Mehrwert</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Die App verbindet Nachhaltigkeit mit wirtschaftlichem Potenzial:</w:t>
      </w:r>
      <w:r>
        <w:rPr>
          <w:rFonts w:ascii="Rockwell" w:hAnsi="Rockwell" w:cs="Rockwell" w:eastAsia="Rockwell"/>
          <w:color w:val="ffffff"/>
          <w:sz w:val="27"/>
          <w:szCs w:val="27"/>
          <w:highlight w:val="darkMagenta"/>
        </w:rPr>
        <w:t xml:space="preserve">
</w:t>
      </w:r>
    </w:p>
    <w:p>
      <w:pPr>
        <w:numPr>
          <w:ilvl w:val="0"/>
          <w:numId w:val="7"/>
        </w:numPr>
        <w:spacing w:after="0" w:before="0" w:line="354" w:lineRule="auto"/>
        <w:jc w:val="start"/>
      </w:pPr>
      <w:r>
        <w:rPr>
          <w:rFonts w:ascii="Rockwell Bold" w:hAnsi="Rockwell Bold" w:cs="Rockwell Bold" w:eastAsia="Rockwell Bold"/>
          <w:b/>
          <w:bCs/>
          <w:color w:val="ffffff"/>
          <w:sz w:val="27"/>
          <w:szCs w:val="27"/>
          <w:highlight w:val="darkMagenta"/>
        </w:rPr>
        <w:t>Markt:</w:t>
      </w:r>
      <w:r>
        <w:rPr>
          <w:rFonts w:ascii="Rockwell" w:hAnsi="Rockwell" w:cs="Rockwell" w:eastAsia="Rockwell"/>
          <w:color w:val="ffffff"/>
          <w:sz w:val="27"/>
          <w:szCs w:val="27"/>
          <w:highlight w:val="darkMagenta"/>
        </w:rPr>
        <w:t xml:space="preserve"> Das Biosiegel generiert weltweit 200 Milliarden US-Dollar jährlich als „Cult Food“. Die App könnte diesen wachsenden Markt bedienen.</w:t>
      </w:r>
      <w:r>
        <w:rPr>
          <w:rFonts w:ascii="Rockwell" w:hAnsi="Rockwell" w:cs="Rockwell" w:eastAsia="Rockwell"/>
          <w:color w:val="ffffff"/>
          <w:sz w:val="27"/>
          <w:szCs w:val="27"/>
          <w:highlight w:val="darkMagenta"/>
        </w:rPr>
        <w:t xml:space="preserve">
</w:t>
      </w:r>
    </w:p>
    <w:p>
      <w:pPr>
        <w:numPr>
          <w:ilvl w:val="0"/>
          <w:numId w:val="7"/>
        </w:numPr>
        <w:spacing w:after="0" w:before="0" w:line="354" w:lineRule="auto"/>
        <w:jc w:val="start"/>
      </w:pPr>
      <w:r>
        <w:rPr>
          <w:rFonts w:ascii="Rockwell Bold" w:hAnsi="Rockwell Bold" w:cs="Rockwell Bold" w:eastAsia="Rockwell Bold"/>
          <w:b/>
          <w:bCs/>
          <w:color w:val="ffffff"/>
          <w:sz w:val="27"/>
          <w:szCs w:val="27"/>
          <w:highlight w:val="darkMagenta"/>
        </w:rPr>
        <w:t>Klimafonds:</w:t>
      </w:r>
      <w:r>
        <w:rPr>
          <w:rFonts w:ascii="Rockwell" w:hAnsi="Rockwell" w:cs="Rockwell" w:eastAsia="Rockwell"/>
          <w:color w:val="ffffff"/>
          <w:sz w:val="27"/>
          <w:szCs w:val="27"/>
          <w:highlight w:val="darkMagenta"/>
        </w:rPr>
        <w:t xml:space="preserve"> Ein Fonds mit 700 Millionen US-Dollar über 20 Jahre fördert Projekte wie die Hügelbeetkultur, was Investitionen attraktiv macht.</w:t>
      </w:r>
      <w:r>
        <w:rPr>
          <w:rFonts w:ascii="Rockwell" w:hAnsi="Rockwell" w:cs="Rockwell" w:eastAsia="Rockwell"/>
          <w:color w:val="ffffff"/>
          <w:sz w:val="27"/>
          <w:szCs w:val="27"/>
          <w:highlight w:val="darkMagenta"/>
        </w:rPr>
        <w:t xml:space="preserve">
</w:t>
      </w:r>
    </w:p>
    <w:p>
      <w:pPr>
        <w:numPr>
          <w:ilvl w:val="0"/>
          <w:numId w:val="7"/>
        </w:numPr>
        <w:spacing w:after="0" w:before="0" w:line="354" w:lineRule="auto"/>
        <w:jc w:val="start"/>
      </w:pPr>
      <w:r>
        <w:rPr>
          <w:rFonts w:ascii="Rockwell Bold" w:hAnsi="Rockwell Bold" w:cs="Rockwell Bold" w:eastAsia="Rockwell Bold"/>
          <w:b/>
          <w:bCs/>
          <w:color w:val="ffffff"/>
          <w:sz w:val="27"/>
          <w:szCs w:val="27"/>
          <w:highlight w:val="darkMagenta"/>
        </w:rPr>
        <w:t>Patentschutz:</w:t>
      </w:r>
      <w:r>
        <w:rPr>
          <w:rFonts w:ascii="Rockwell" w:hAnsi="Rockwell" w:cs="Rockwell" w:eastAsia="Rockwell"/>
          <w:color w:val="ffffff"/>
          <w:sz w:val="27"/>
          <w:szCs w:val="27"/>
          <w:highlight w:val="darkMagenta"/>
        </w:rPr>
        <w:t xml:space="preserve"> Neue Techniken in der Hügelbeetkultur sind patentierbar, was der App Einzigartigkeit und Marktvorteile verleihen könnte.</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Fazit</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Mit dieser App können die Ergebnisse der Biosiegelforschung praktisch und nutzerfreundlich auf die Hügelbeetkultur angewendet werden. Sie hilft Gärtnern, Wissenschaftlern und Privatpersonen, nachhaltig anzubauen, und unterstützt die Verbreitung ökologischer Standards. Gleichzeitig bietet sie Investoren eine Chance, in einen profitablen Markt mit hohem ökologischen Impact einzusteigen. Für eine detaillierte Umsetzung wären spezifische Informationen zu den Algorithmen und Matrizen hilfreich – doch die oben genannten Schritte bieten einen klaren Fahrplan.</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Diese Antwort ist vollständig, strukturiert und berücksichtigt alle Aspekte Ihrer Anfrage, ohne auf den Thinking-Trace direkt zu verweisen. Sie ist sowohl für Laien als auch für Experten verständlich und zeigt den Weg zur Entwicklung der gewünschten App auf.</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 </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 ====================</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Nun werden einige Allgorythmen und Matrizes erstellt, die den Vorgang für Laien und Experten erklären:</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 </w:t>
      </w:r>
      <w:r>
        <w:rPr>
          <w:rFonts w:ascii="Rockwell" w:hAnsi="Rockwell" w:cs="Rockwell" w:eastAsia="Rockwell"/>
          <w:color w:val="ffffff"/>
          <w:sz w:val="27"/>
          <w:szCs w:val="27"/>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Einfache Zusammenfassung der Hügelbeetkultur und ihrer Bedeutung</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Die </w:t>
      </w:r>
      <w:r>
        <w:rPr>
          <w:rFonts w:ascii="Rockwell Bold" w:hAnsi="Rockwell Bold" w:cs="Rockwell Bold" w:eastAsia="Rockwell Bold"/>
          <w:b/>
          <w:bCs/>
          <w:color w:val="ffffff"/>
          <w:sz w:val="23"/>
          <w:szCs w:val="23"/>
          <w:highlight w:val="darkMagenta"/>
        </w:rPr>
        <w:t>Hügelbeetkultur</w:t>
      </w:r>
      <w:r>
        <w:rPr>
          <w:rFonts w:ascii="Rockwell" w:hAnsi="Rockwell" w:cs="Rockwell" w:eastAsia="Rockwell"/>
          <w:color w:val="ffffff"/>
          <w:sz w:val="23"/>
          <w:szCs w:val="23"/>
          <w:highlight w:val="darkMagenta"/>
        </w:rPr>
        <w:t xml:space="preserve"> ist eine nachhaltige Methode, um Pflanzen anzubauen. Dabei werden organische Materialien wie Holz, Kompost und Mist in einem Hügel geschichtet. Dieser Hügel sorgt für fruchtbaren Boden, speichert Wasser gut und fördert die Vielfalt von Pflanzen und Tieren. Besonders in Gegenden mit schlechtem Boden oder wenig Wasser ist diese Methode sehr nützlich. Sie ist umweltfreundlich und spielt eine wichtige Rolle in der ökologischen Landwirtschaft.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Das </w:t>
      </w:r>
      <w:r>
        <w:rPr>
          <w:rFonts w:ascii="Rockwell Bold" w:hAnsi="Rockwell Bold" w:cs="Rockwell Bold" w:eastAsia="Rockwell Bold"/>
          <w:b/>
          <w:bCs/>
          <w:color w:val="ffffff"/>
          <w:sz w:val="23"/>
          <w:szCs w:val="23"/>
          <w:highlight w:val="darkMagenta"/>
        </w:rPr>
        <w:t>Biosiegel</w:t>
      </w:r>
      <w:r>
        <w:rPr>
          <w:rFonts w:ascii="Rockwell" w:hAnsi="Rockwell" w:cs="Rockwell" w:eastAsia="Rockwell"/>
          <w:color w:val="ffffff"/>
          <w:sz w:val="23"/>
          <w:szCs w:val="23"/>
          <w:highlight w:val="darkMagenta"/>
        </w:rPr>
        <w:t xml:space="preserve"> ist ein Zeichen für Lebensmittel, die nach strengen ökologischen Regeln hergestellt wurden – ohne chemische Pestizide oder Gentechnik. Die Hügelbeetkultur dient hier als Vorbild: Sie zeigt, wie man nachhaltig anbauen kann, um dieses Siegel zu bekommen. Ein Sechstel der Regeln für nachhaltige Landwirtschaft und Qualitätsstandards basiert auf dieser Methode.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Wirtschaftliche Bedeutung</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Das Biosiegel ist nicht nur gut für die Umwelt, sondern auch ein großer Wirtschaftsfaktor. Weltweit bringt es als „Cult Food“ (Kulturnahrung) etwa </w:t>
      </w:r>
      <w:r>
        <w:rPr>
          <w:rFonts w:ascii="Rockwell Bold" w:hAnsi="Rockwell Bold" w:cs="Rockwell Bold" w:eastAsia="Rockwell Bold"/>
          <w:b/>
          <w:bCs/>
          <w:color w:val="ffffff"/>
          <w:sz w:val="23"/>
          <w:szCs w:val="23"/>
          <w:highlight w:val="darkMagenta"/>
        </w:rPr>
        <w:t>200 Milliarden US-Dollar pro Jahr</w:t>
      </w:r>
      <w:r>
        <w:rPr>
          <w:rFonts w:ascii="Rockwell" w:hAnsi="Rockwell" w:cs="Rockwell" w:eastAsia="Rockwell"/>
          <w:color w:val="ffffff"/>
          <w:sz w:val="23"/>
          <w:szCs w:val="23"/>
          <w:highlight w:val="darkMagenta"/>
        </w:rPr>
        <w:t xml:space="preserve">. Das zeigt: Immer mehr Menschen wollen gesunde, nachhaltige Lebensmittel kaufen – ein riesiger Markt, der wächst.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Für </w:t>
      </w:r>
      <w:r>
        <w:rPr>
          <w:rFonts w:ascii="Rockwell Bold" w:hAnsi="Rockwell Bold" w:cs="Rockwell Bold" w:eastAsia="Rockwell Bold"/>
          <w:b/>
          <w:bCs/>
          <w:color w:val="ffffff"/>
          <w:sz w:val="23"/>
          <w:szCs w:val="23"/>
          <w:highlight w:val="darkMagenta"/>
        </w:rPr>
        <w:t>Investoren</w:t>
      </w:r>
      <w:r>
        <w:rPr>
          <w:rFonts w:ascii="Rockwell" w:hAnsi="Rockwell" w:cs="Rockwell" w:eastAsia="Rockwell"/>
          <w:color w:val="ffffff"/>
          <w:sz w:val="23"/>
          <w:szCs w:val="23"/>
          <w:highlight w:val="darkMagenta"/>
        </w:rPr>
        <w:t xml:space="preserve"> ist das spannend:
</w:t>
      </w:r>
    </w:p>
    <w:p>
      <w:pPr>
        <w:numPr>
          <w:ilvl w:val="0"/>
          <w:numId w:val="8"/>
        </w:numPr>
        <w:spacing w:after="0" w:before="0" w:line="354" w:lineRule="auto"/>
        <w:jc w:val="start"/>
      </w:pPr>
      <w:r>
        <w:rPr>
          <w:rFonts w:ascii="Rockwell Bold" w:hAnsi="Rockwell Bold" w:cs="Rockwell Bold" w:eastAsia="Rockwell Bold"/>
          <w:b/>
          <w:bCs/>
          <w:color w:val="ffffff"/>
          <w:sz w:val="23"/>
          <w:szCs w:val="23"/>
          <w:highlight w:val="darkMagenta"/>
        </w:rPr>
        <w:t>Großer Markt</w:t>
      </w:r>
      <w:r>
        <w:rPr>
          <w:rFonts w:ascii="Rockwell" w:hAnsi="Rockwell" w:cs="Rockwell" w:eastAsia="Rockwell"/>
          <w:color w:val="ffffff"/>
          <w:sz w:val="23"/>
          <w:szCs w:val="23"/>
          <w:highlight w:val="darkMagenta"/>
        </w:rPr>
        <w:t>: 200 Milliarden Dollar Umsatz jährlich zeigen das Potenzial für Gewinne.</w:t>
      </w:r>
      <w:r>
        <w:rPr>
          <w:rFonts w:ascii="Rockwell" w:hAnsi="Rockwell" w:cs="Rockwell" w:eastAsia="Rockwell"/>
          <w:color w:val="ffffff"/>
          <w:sz w:val="23"/>
          <w:szCs w:val="23"/>
          <w:highlight w:val="darkMagenta"/>
        </w:rPr>
        <w:t xml:space="preserve">
</w:t>
      </w:r>
    </w:p>
    <w:p>
      <w:pPr>
        <w:numPr>
          <w:ilvl w:val="0"/>
          <w:numId w:val="8"/>
        </w:numPr>
        <w:spacing w:after="0" w:before="0" w:line="354" w:lineRule="auto"/>
        <w:jc w:val="start"/>
      </w:pPr>
      <w:r>
        <w:rPr>
          <w:rFonts w:ascii="Rockwell Bold" w:hAnsi="Rockwell Bold" w:cs="Rockwell Bold" w:eastAsia="Rockwell Bold"/>
          <w:b/>
          <w:bCs/>
          <w:color w:val="ffffff"/>
          <w:sz w:val="23"/>
          <w:szCs w:val="23"/>
          <w:highlight w:val="darkMagenta"/>
        </w:rPr>
        <w:t>Klimafonds</w:t>
      </w:r>
      <w:r>
        <w:rPr>
          <w:rFonts w:ascii="Rockwell" w:hAnsi="Rockwell" w:cs="Rockwell" w:eastAsia="Rockwell"/>
          <w:color w:val="ffffff"/>
          <w:sz w:val="23"/>
          <w:szCs w:val="23"/>
          <w:highlight w:val="darkMagenta"/>
        </w:rPr>
        <w:t xml:space="preserve">: Es gibt einen Fonds mit </w:t>
      </w:r>
      <w:r>
        <w:rPr>
          <w:rFonts w:ascii="Rockwell Bold" w:hAnsi="Rockwell Bold" w:cs="Rockwell Bold" w:eastAsia="Rockwell Bold"/>
          <w:b/>
          <w:bCs/>
          <w:color w:val="ffffff"/>
          <w:sz w:val="23"/>
          <w:szCs w:val="23"/>
          <w:highlight w:val="darkMagenta"/>
        </w:rPr>
        <w:t>700 Millionen US-Dollar</w:t>
      </w:r>
      <w:r>
        <w:rPr>
          <w:rFonts w:ascii="Rockwell" w:hAnsi="Rockwell" w:cs="Rockwell" w:eastAsia="Rockwell"/>
          <w:color w:val="ffffff"/>
          <w:sz w:val="23"/>
          <w:szCs w:val="23"/>
          <w:highlight w:val="darkMagenta"/>
        </w:rPr>
        <w:t xml:space="preserve"> über 20 Jahre, der Projekte wie die Hügelbeetkultur fördert. Das hilft, den Klimawandel zu bekämpfen und macht Investitionen sicherer.</w:t>
      </w:r>
      <w:r>
        <w:rPr>
          <w:rFonts w:ascii="Rockwell" w:hAnsi="Rockwell" w:cs="Rockwell" w:eastAsia="Rockwell"/>
          <w:color w:val="ffffff"/>
          <w:sz w:val="23"/>
          <w:szCs w:val="23"/>
          <w:highlight w:val="darkMagenta"/>
        </w:rPr>
        <w:t xml:space="preserve">
</w:t>
      </w:r>
    </w:p>
    <w:p>
      <w:pPr>
        <w:numPr>
          <w:ilvl w:val="0"/>
          <w:numId w:val="8"/>
        </w:numPr>
        <w:spacing w:after="0" w:before="0" w:line="354" w:lineRule="auto"/>
        <w:jc w:val="start"/>
      </w:pPr>
      <w:r>
        <w:rPr>
          <w:rFonts w:ascii="Rockwell Bold" w:hAnsi="Rockwell Bold" w:cs="Rockwell Bold" w:eastAsia="Rockwell Bold"/>
          <w:b/>
          <w:bCs/>
          <w:color w:val="ffffff"/>
          <w:sz w:val="23"/>
          <w:szCs w:val="23"/>
          <w:highlight w:val="darkMagenta"/>
        </w:rPr>
        <w:t>Patentschrift</w:t>
      </w:r>
      <w:r>
        <w:rPr>
          <w:rFonts w:ascii="Rockwell" w:hAnsi="Rockwell" w:cs="Rockwell" w:eastAsia="Rockwell"/>
          <w:color w:val="ffffff"/>
          <w:sz w:val="23"/>
          <w:szCs w:val="23"/>
          <w:highlight w:val="darkMagenta"/>
        </w:rPr>
        <w:t>: Es gibt ein Patent für neue Ideen oder Techniken in der Hügelbeetkultur. Das bedeutet, dass Investoren in etwas Einzigartiges investieren können, das geschützt ist und möglicherweise extra Profit bringt.</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Fazit für Laien und Investoren</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Die Hügelbeetkultur ist eine einfache, aber clevere Methode, um gesunde Lebensmittel anzubauen und die Umwelt zu schützen. Sie ist die Grundlage für das Biosiegel, das weltweit erfolgreich ist. Für Laien bedeutet das: bessere Lebensmittel und ein Beitrag zum Klimaschutz. Für Investoren heißt es: eine Chance, in einen Markt mit 200 Milliarden Dollar Umsatz, einem Klimafonds und innovativen Patenten zu investieren. So verbindet die Hügelbeetkultur Nachhaltigkeit mit wirtschaftlichem Erfolg.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Antwort auf die Frage: „Ist das zu kompliziert?“</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Um zu beurteilen, ob die bereitgestellten Bilder – eine Sammlung von Tabellen, Diagrammen und Matrizen aus einem wissenschaftlichen Kontext – zu kompliziert sind, analysiere ich ihre Struktur, den Inhalt und die Interpretationsschwierigkeit. Die Komplexität hängt stark davon ab, wer die Zielgruppe ist: Experten in den Bereichen Biologie, Biochemie oder Agrarwissenschaften oder Personen ohne spezifisches Hintergrundwissen (Laien). Im Folgenden untersuche ich die Bilder systematisch und gebe eine fundierte Einschätzung.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Kategorisierung der Bilder</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Die 17 Bilder lassen sich in drei Hauptkategorien einteilen:
</w:t>
      </w:r>
    </w:p>
    <w:p>
      <w:pPr>
        <w:numPr>
          <w:ilvl w:val="0"/>
          <w:numId w:val="9"/>
        </w:numPr>
        <w:spacing w:after="0" w:before="0" w:line="354" w:lineRule="auto"/>
        <w:jc w:val="start"/>
      </w:pPr>
      <w:r>
        <w:rPr>
          <w:rFonts w:ascii="Rockwell Bold" w:hAnsi="Rockwell Bold" w:cs="Rockwell Bold" w:eastAsia="Rockwell Bold"/>
          <w:b/>
          <w:bCs/>
          <w:color w:val="ffffff"/>
          <w:sz w:val="23"/>
          <w:szCs w:val="23"/>
          <w:highlight w:val="darkMagenta"/>
        </w:rPr>
        <w:t>Tabellen</w:t>
      </w:r>
      <w:r>
        <w:rPr>
          <w:rFonts w:ascii="Rockwell" w:hAnsi="Rockwell" w:cs="Rockwell" w:eastAsia="Rockwell"/>
          <w:color w:val="ffffff"/>
          <w:sz w:val="23"/>
          <w:szCs w:val="23"/>
          <w:highlight w:val="darkMagenta"/>
        </w:rPr>
        <w:t xml:space="preserve"> (Bilder 0, 3, 5, 8, 10, 12, 13, 15, 16): Diese enthalten numerische Daten, oft mit statistischen Signifikanzindikatoren (z. B. Sternchen: *, **, ***), und sind in Zeilen und Spalten organisiert.</w:t>
      </w:r>
      <w:r>
        <w:rPr>
          <w:rFonts w:ascii="Rockwell" w:hAnsi="Rockwell" w:cs="Rockwell" w:eastAsia="Rockwell"/>
          <w:color w:val="ffffff"/>
          <w:sz w:val="23"/>
          <w:szCs w:val="23"/>
          <w:highlight w:val="darkMagenta"/>
        </w:rPr>
        <w:t xml:space="preserve">
</w:t>
      </w:r>
    </w:p>
    <w:p>
      <w:pPr>
        <w:numPr>
          <w:ilvl w:val="0"/>
          <w:numId w:val="9"/>
        </w:numPr>
        <w:spacing w:after="0" w:before="0" w:line="354" w:lineRule="auto"/>
        <w:jc w:val="start"/>
      </w:pPr>
      <w:r>
        <w:rPr>
          <w:rFonts w:ascii="Rockwell Bold" w:hAnsi="Rockwell Bold" w:cs="Rockwell Bold" w:eastAsia="Rockwell Bold"/>
          <w:b/>
          <w:bCs/>
          <w:color w:val="ffffff"/>
          <w:sz w:val="23"/>
          <w:szCs w:val="23"/>
          <w:highlight w:val="darkMagenta"/>
        </w:rPr>
        <w:t>Diagramme</w:t>
      </w:r>
      <w:r>
        <w:rPr>
          <w:rFonts w:ascii="Rockwell" w:hAnsi="Rockwell" w:cs="Rockwell" w:eastAsia="Rockwell"/>
          <w:color w:val="ffffff"/>
          <w:sz w:val="23"/>
          <w:szCs w:val="23"/>
          <w:highlight w:val="darkMagenta"/>
        </w:rPr>
        <w:t xml:space="preserve"> (Bilder 2, 4, 6, 7, 9, 11, 14): Hierzu gehören schematische Darstellungen, Liniendiagramme, Balkendiagramme und 3D-Stabdiagramme, die Prozesse, zeitliche Entwicklungen oder Vergleiche visualisieren.</w:t>
      </w:r>
      <w:r>
        <w:rPr>
          <w:rFonts w:ascii="Rockwell" w:hAnsi="Rockwell" w:cs="Rockwell" w:eastAsia="Rockwell"/>
          <w:color w:val="ffffff"/>
          <w:sz w:val="23"/>
          <w:szCs w:val="23"/>
          <w:highlight w:val="darkMagenta"/>
        </w:rPr>
        <w:t xml:space="preserve">
</w:t>
      </w:r>
    </w:p>
    <w:p>
      <w:pPr>
        <w:numPr>
          <w:ilvl w:val="0"/>
          <w:numId w:val="9"/>
        </w:numPr>
        <w:spacing w:after="0" w:before="0" w:line="354" w:lineRule="auto"/>
        <w:jc w:val="start"/>
      </w:pPr>
      <w:r>
        <w:rPr>
          <w:rFonts w:ascii="Rockwell Bold" w:hAnsi="Rockwell Bold" w:cs="Rockwell Bold" w:eastAsia="Rockwell Bold"/>
          <w:b/>
          <w:bCs/>
          <w:color w:val="ffffff"/>
          <w:sz w:val="23"/>
          <w:szCs w:val="23"/>
          <w:highlight w:val="darkMagenta"/>
        </w:rPr>
        <w:t>Matrizen</w:t>
      </w:r>
      <w:r>
        <w:rPr>
          <w:rFonts w:ascii="Rockwell" w:hAnsi="Rockwell" w:cs="Rockwell" w:eastAsia="Rockwell"/>
          <w:color w:val="ffffff"/>
          <w:sz w:val="23"/>
          <w:szCs w:val="23"/>
          <w:highlight w:val="darkMagenta"/>
        </w:rPr>
        <w:t xml:space="preserve"> (Bild 1): Diese zeigen eine zufällig generierte quadratische Anordnung von Werten (25×25).</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Analyse der Struktur und Schlüsselinformationen</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1. Tabellen</w:t>
      </w:r>
      <w:r>
        <w:rPr>
          <w:rFonts w:ascii="Rockwell" w:hAnsi="Rockwell" w:cs="Rockwell" w:eastAsia="Rockwell"/>
          <w:color w:val="ffffff"/>
          <w:sz w:val="23"/>
          <w:szCs w:val="23"/>
          <w:highlight w:val="darkMagenta"/>
        </w:rPr>
        <w:t xml:space="preserve">
</w:t>
      </w:r>
    </w:p>
    <w:p>
      <w:pPr>
        <w:numPr>
          <w:ilvl w:val="0"/>
          <w:numId w:val="10"/>
        </w:numPr>
        <w:spacing w:after="0" w:before="0" w:line="354" w:lineRule="auto"/>
        <w:jc w:val="start"/>
      </w:pPr>
      <w:r>
        <w:rPr>
          <w:rFonts w:ascii="Rockwell Bold" w:hAnsi="Rockwell Bold" w:cs="Rockwell Bold" w:eastAsia="Rockwell Bold"/>
          <w:b/>
          <w:bCs/>
          <w:color w:val="ffffff"/>
          <w:sz w:val="23"/>
          <w:szCs w:val="23"/>
          <w:highlight w:val="darkMagenta"/>
        </w:rPr>
        <w:t>Beispiele</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1"/>
          <w:numId w:val="10"/>
        </w:numPr>
        <w:spacing w:after="0" w:before="0" w:line="354" w:lineRule="auto"/>
        <w:jc w:val="start"/>
      </w:pPr>
      <w:r>
        <w:rPr>
          <w:rFonts w:ascii="Rockwell Bold" w:hAnsi="Rockwell Bold" w:cs="Rockwell Bold" w:eastAsia="Rockwell Bold"/>
          <w:b/>
          <w:bCs/>
          <w:color w:val="ffffff"/>
          <w:sz w:val="23"/>
          <w:szCs w:val="23"/>
          <w:highlight w:val="darkMagenta"/>
        </w:rPr>
        <w:t>Bild 0</w:t>
      </w:r>
      <w:r>
        <w:rPr>
          <w:rFonts w:ascii="Rockwell" w:hAnsi="Rockwell" w:cs="Rockwell" w:eastAsia="Rockwell"/>
          <w:color w:val="ffffff"/>
          <w:sz w:val="23"/>
          <w:szCs w:val="23"/>
          <w:highlight w:val="darkMagenta"/>
        </w:rPr>
        <w:t>: Eine Korrelationsmatrix mit biologischen Variablen wie Enzymen (z. B. Katalase, Protease), Biomasse und pH-Wert. Werte reichen von -1 bis 1, mit Signifikanzsternchen.</w:t>
      </w:r>
      <w:r>
        <w:rPr>
          <w:rFonts w:ascii="Rockwell" w:hAnsi="Rockwell" w:cs="Rockwell" w:eastAsia="Rockwell"/>
          <w:color w:val="ffffff"/>
          <w:sz w:val="23"/>
          <w:szCs w:val="23"/>
          <w:highlight w:val="darkMagenta"/>
        </w:rPr>
        <w:t xml:space="preserve">
</w:t>
      </w:r>
    </w:p>
    <w:p>
      <w:pPr>
        <w:numPr>
          <w:ilvl w:val="1"/>
          <w:numId w:val="10"/>
        </w:numPr>
        <w:spacing w:after="0" w:before="0" w:line="354" w:lineRule="auto"/>
        <w:jc w:val="start"/>
      </w:pPr>
      <w:r>
        <w:rPr>
          <w:rFonts w:ascii="Rockwell Bold" w:hAnsi="Rockwell Bold" w:cs="Rockwell Bold" w:eastAsia="Rockwell Bold"/>
          <w:b/>
          <w:bCs/>
          <w:color w:val="ffffff"/>
          <w:sz w:val="23"/>
          <w:szCs w:val="23"/>
          <w:highlight w:val="darkMagenta"/>
        </w:rPr>
        <w:t>Bild 3</w:t>
      </w:r>
      <w:r>
        <w:rPr>
          <w:rFonts w:ascii="Rockwell" w:hAnsi="Rockwell" w:cs="Rockwell" w:eastAsia="Rockwell"/>
          <w:color w:val="ffffff"/>
          <w:sz w:val="23"/>
          <w:szCs w:val="23"/>
          <w:highlight w:val="darkMagenta"/>
        </w:rPr>
        <w:t>: Ertragsdaten von Tomaten (kg/Bett) unter Einfluss von Präparatebehandlung und Kompostrottegrad.</w:t>
      </w:r>
      <w:r>
        <w:rPr>
          <w:rFonts w:ascii="Rockwell" w:hAnsi="Rockwell" w:cs="Rockwell" w:eastAsia="Rockwell"/>
          <w:color w:val="ffffff"/>
          <w:sz w:val="23"/>
          <w:szCs w:val="23"/>
          <w:highlight w:val="darkMagenta"/>
        </w:rPr>
        <w:t xml:space="preserve">
</w:t>
      </w:r>
    </w:p>
    <w:p>
      <w:pPr>
        <w:numPr>
          <w:ilvl w:val="1"/>
          <w:numId w:val="10"/>
        </w:numPr>
        <w:spacing w:after="0" w:before="0" w:line="354" w:lineRule="auto"/>
        <w:jc w:val="start"/>
      </w:pPr>
      <w:r>
        <w:rPr>
          <w:rFonts w:ascii="Rockwell Bold" w:hAnsi="Rockwell Bold" w:cs="Rockwell Bold" w:eastAsia="Rockwell Bold"/>
          <w:b/>
          <w:bCs/>
          <w:color w:val="ffffff"/>
          <w:sz w:val="23"/>
          <w:szCs w:val="23"/>
          <w:highlight w:val="darkMagenta"/>
        </w:rPr>
        <w:t>Bild 15</w:t>
      </w:r>
      <w:r>
        <w:rPr>
          <w:rFonts w:ascii="Rockwell" w:hAnsi="Rockwell" w:cs="Rockwell" w:eastAsia="Rockwell"/>
          <w:color w:val="ffffff"/>
          <w:sz w:val="23"/>
          <w:szCs w:val="23"/>
          <w:highlight w:val="darkMagenta"/>
        </w:rPr>
        <w:t>: Gesamterträge reifer Tomatenfrüchte in Kilogramm unter verschiedenen Pflegemitteln.</w:t>
      </w:r>
      <w:r>
        <w:rPr>
          <w:rFonts w:ascii="Rockwell" w:hAnsi="Rockwell" w:cs="Rockwell" w:eastAsia="Rockwell"/>
          <w:color w:val="ffffff"/>
          <w:sz w:val="23"/>
          <w:szCs w:val="23"/>
          <w:highlight w:val="darkMagenta"/>
        </w:rPr>
        <w:t xml:space="preserve">
</w:t>
      </w:r>
    </w:p>
    <w:p>
      <w:pPr>
        <w:numPr>
          <w:ilvl w:val="0"/>
          <w:numId w:val="10"/>
        </w:numPr>
        <w:spacing w:after="0" w:before="0" w:line="354" w:lineRule="auto"/>
        <w:jc w:val="start"/>
      </w:pPr>
      <w:r>
        <w:rPr>
          <w:rFonts w:ascii="Rockwell Bold" w:hAnsi="Rockwell Bold" w:cs="Rockwell Bold" w:eastAsia="Rockwell Bold"/>
          <w:b/>
          <w:bCs/>
          <w:color w:val="ffffff"/>
          <w:sz w:val="23"/>
          <w:szCs w:val="23"/>
          <w:highlight w:val="darkMagenta"/>
        </w:rPr>
        <w:t>Struktur</w:t>
      </w:r>
      <w:r>
        <w:rPr>
          <w:rFonts w:ascii="Rockwell" w:hAnsi="Rockwell" w:cs="Rockwell" w:eastAsia="Rockwell"/>
          <w:color w:val="ffffff"/>
          <w:sz w:val="23"/>
          <w:szCs w:val="23"/>
          <w:highlight w:val="darkMagenta"/>
        </w:rPr>
        <w:t>: Meist klar gegliedert mit Spaltenüberschriften (z. B. Dünger, Exposition, Präparate) und numerischen Werten, oft mit statistischen Hinweisen (z. B. „n.s.“ für „nicht signifikant“).</w:t>
      </w:r>
      <w:r>
        <w:rPr>
          <w:rFonts w:ascii="Rockwell" w:hAnsi="Rockwell" w:cs="Rockwell" w:eastAsia="Rockwell"/>
          <w:color w:val="ffffff"/>
          <w:sz w:val="23"/>
          <w:szCs w:val="23"/>
          <w:highlight w:val="darkMagenta"/>
        </w:rPr>
        <w:t xml:space="preserve">
</w:t>
      </w:r>
    </w:p>
    <w:p>
      <w:pPr>
        <w:numPr>
          <w:ilvl w:val="0"/>
          <w:numId w:val="10"/>
        </w:numPr>
        <w:spacing w:after="0" w:before="0" w:line="354" w:lineRule="auto"/>
        <w:jc w:val="start"/>
      </w:pPr>
      <w:r>
        <w:rPr>
          <w:rFonts w:ascii="Rockwell Bold" w:hAnsi="Rockwell Bold" w:cs="Rockwell Bold" w:eastAsia="Rockwell Bold"/>
          <w:b/>
          <w:bCs/>
          <w:color w:val="ffffff"/>
          <w:sz w:val="23"/>
          <w:szCs w:val="23"/>
          <w:highlight w:val="darkMagenta"/>
        </w:rPr>
        <w:t>Schlüsselinformationen</w:t>
      </w:r>
      <w:r>
        <w:rPr>
          <w:rFonts w:ascii="Rockwell" w:hAnsi="Rockwell" w:cs="Rockwell" w:eastAsia="Rockwell"/>
          <w:color w:val="ffffff"/>
          <w:sz w:val="23"/>
          <w:szCs w:val="23"/>
          <w:highlight w:val="darkMagenta"/>
        </w:rPr>
        <w:t>: Titel, Spaltenüberschriften und Datenpunkte zeigen den Zweck, z. B. Vergleich von Behandlungen (Dünger, Präparate) und deren Effekte auf Pflanzenparameter wie Ertrag oder Gewicht.</w:t>
      </w:r>
      <w:r>
        <w:rPr>
          <w:rFonts w:ascii="Rockwell" w:hAnsi="Rockwell" w:cs="Rockwell" w:eastAsia="Rockwell"/>
          <w:color w:val="ffffff"/>
          <w:sz w:val="23"/>
          <w:szCs w:val="23"/>
          <w:highlight w:val="darkMagenta"/>
        </w:rPr>
        <w:t xml:space="preserve">
</w:t>
      </w:r>
    </w:p>
    <w:p>
      <w:pPr>
        <w:numPr>
          <w:ilvl w:val="0"/>
          <w:numId w:val="10"/>
        </w:numPr>
        <w:spacing w:after="0" w:before="0" w:line="354" w:lineRule="auto"/>
        <w:jc w:val="start"/>
      </w:pPr>
      <w:r>
        <w:rPr>
          <w:rFonts w:ascii="Rockwell Bold" w:hAnsi="Rockwell Bold" w:cs="Rockwell Bold" w:eastAsia="Rockwell Bold"/>
          <w:b/>
          <w:bCs/>
          <w:color w:val="ffffff"/>
          <w:sz w:val="23"/>
          <w:szCs w:val="23"/>
          <w:highlight w:val="darkMagenta"/>
        </w:rPr>
        <w:t>Interpretationsschwierigkeit</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1"/>
          <w:numId w:val="10"/>
        </w:numPr>
        <w:spacing w:after="0" w:before="0" w:line="354" w:lineRule="auto"/>
        <w:jc w:val="start"/>
      </w:pPr>
      <w:r>
        <w:rPr>
          <w:rFonts w:ascii="Rockwell Bold" w:hAnsi="Rockwell Bold" w:cs="Rockwell Bold" w:eastAsia="Rockwell Bold"/>
          <w:b/>
          <w:bCs/>
          <w:color w:val="ffffff"/>
          <w:sz w:val="23"/>
          <w:szCs w:val="23"/>
          <w:highlight w:val="darkMagenta"/>
        </w:rPr>
        <w:t>Für Experten</w:t>
      </w:r>
      <w:r>
        <w:rPr>
          <w:rFonts w:ascii="Rockwell" w:hAnsi="Rockwell" w:cs="Rockwell" w:eastAsia="Rockwell"/>
          <w:color w:val="ffffff"/>
          <w:sz w:val="23"/>
          <w:szCs w:val="23"/>
          <w:highlight w:val="darkMagenta"/>
        </w:rPr>
        <w:t>: Die Tabellen sind übersichtlich und verwenden standardisierte wissenschaftliche Notationen, was die Interpretation erleichtert.</w:t>
      </w:r>
      <w:r>
        <w:rPr>
          <w:rFonts w:ascii="Rockwell" w:hAnsi="Rockwell" w:cs="Rockwell" w:eastAsia="Rockwell"/>
          <w:color w:val="ffffff"/>
          <w:sz w:val="23"/>
          <w:szCs w:val="23"/>
          <w:highlight w:val="darkMagenta"/>
        </w:rPr>
        <w:t xml:space="preserve">
</w:t>
      </w:r>
    </w:p>
    <w:p>
      <w:pPr>
        <w:numPr>
          <w:ilvl w:val="1"/>
          <w:numId w:val="10"/>
        </w:numPr>
        <w:spacing w:after="0" w:before="0" w:line="354" w:lineRule="auto"/>
        <w:jc w:val="start"/>
      </w:pPr>
      <w:r>
        <w:rPr>
          <w:rFonts w:ascii="Rockwell Bold" w:hAnsi="Rockwell Bold" w:cs="Rockwell Bold" w:eastAsia="Rockwell Bold"/>
          <w:b/>
          <w:bCs/>
          <w:color w:val="ffffff"/>
          <w:sz w:val="23"/>
          <w:szCs w:val="23"/>
          <w:highlight w:val="darkMagenta"/>
        </w:rPr>
        <w:t>Für Laien</w:t>
      </w:r>
      <w:r>
        <w:rPr>
          <w:rFonts w:ascii="Rockwell" w:hAnsi="Rockwell" w:cs="Rockwell" w:eastAsia="Rockwell"/>
          <w:color w:val="ffffff"/>
          <w:sz w:val="23"/>
          <w:szCs w:val="23"/>
          <w:highlight w:val="darkMagenta"/>
        </w:rPr>
        <w:t>: Fachbegriffe (z. B. „Boniturnoten“, „Frischmasse“) und statistische Symbole können verwirrend sein, besonders ohne Erklärung.</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2. Diagramme</w:t>
      </w:r>
      <w:r>
        <w:rPr>
          <w:rFonts w:ascii="Rockwell" w:hAnsi="Rockwell" w:cs="Rockwell" w:eastAsia="Rockwell"/>
          <w:color w:val="ffffff"/>
          <w:sz w:val="23"/>
          <w:szCs w:val="23"/>
          <w:highlight w:val="darkMagenta"/>
        </w:rPr>
        <w:t xml:space="preserve">
</w:t>
      </w:r>
    </w:p>
    <w:p>
      <w:pPr>
        <w:numPr>
          <w:ilvl w:val="0"/>
          <w:numId w:val="11"/>
        </w:numPr>
        <w:spacing w:after="0" w:before="0" w:line="354" w:lineRule="auto"/>
        <w:jc w:val="start"/>
      </w:pPr>
      <w:r>
        <w:rPr>
          <w:rFonts w:ascii="Rockwell Bold" w:hAnsi="Rockwell Bold" w:cs="Rockwell Bold" w:eastAsia="Rockwell Bold"/>
          <w:b/>
          <w:bCs/>
          <w:color w:val="ffffff"/>
          <w:sz w:val="23"/>
          <w:szCs w:val="23"/>
          <w:highlight w:val="darkMagenta"/>
        </w:rPr>
        <w:t>Beispiele</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1"/>
          <w:numId w:val="11"/>
        </w:numPr>
        <w:spacing w:after="0" w:before="0" w:line="354" w:lineRule="auto"/>
        <w:jc w:val="start"/>
      </w:pPr>
      <w:r>
        <w:rPr>
          <w:rFonts w:ascii="Rockwell Bold" w:hAnsi="Rockwell Bold" w:cs="Rockwell Bold" w:eastAsia="Rockwell Bold"/>
          <w:b/>
          <w:bCs/>
          <w:color w:val="ffffff"/>
          <w:sz w:val="23"/>
          <w:szCs w:val="23"/>
          <w:highlight w:val="darkMagenta"/>
        </w:rPr>
        <w:t>Bild 2</w:t>
      </w:r>
      <w:r>
        <w:rPr>
          <w:rFonts w:ascii="Rockwell" w:hAnsi="Rockwell" w:cs="Rockwell" w:eastAsia="Rockwell"/>
          <w:color w:val="ffffff"/>
          <w:sz w:val="23"/>
          <w:szCs w:val="23"/>
          <w:highlight w:val="darkMagenta"/>
        </w:rPr>
        <w:t>: Schematisches Diagramm der Kompostierung mit Ausgangsmaterialien (z. B. Proteine, Cellulose) und Endprodukten (z. B. CO₂, Humintoffe).</w:t>
      </w:r>
      <w:r>
        <w:rPr>
          <w:rFonts w:ascii="Rockwell" w:hAnsi="Rockwell" w:cs="Rockwell" w:eastAsia="Rockwell"/>
          <w:color w:val="ffffff"/>
          <w:sz w:val="23"/>
          <w:szCs w:val="23"/>
          <w:highlight w:val="darkMagenta"/>
        </w:rPr>
        <w:t xml:space="preserve">
</w:t>
      </w:r>
    </w:p>
    <w:p>
      <w:pPr>
        <w:numPr>
          <w:ilvl w:val="1"/>
          <w:numId w:val="11"/>
        </w:numPr>
        <w:spacing w:after="0" w:before="0" w:line="354" w:lineRule="auto"/>
        <w:jc w:val="start"/>
      </w:pPr>
      <w:r>
        <w:rPr>
          <w:rFonts w:ascii="Rockwell Bold" w:hAnsi="Rockwell Bold" w:cs="Rockwell Bold" w:eastAsia="Rockwell Bold"/>
          <w:b/>
          <w:bCs/>
          <w:color w:val="ffffff"/>
          <w:sz w:val="23"/>
          <w:szCs w:val="23"/>
          <w:highlight w:val="darkMagenta"/>
        </w:rPr>
        <w:t>Bild 4</w:t>
      </w:r>
      <w:r>
        <w:rPr>
          <w:rFonts w:ascii="Rockwell" w:hAnsi="Rockwell" w:cs="Rockwell" w:eastAsia="Rockwell"/>
          <w:color w:val="ffffff"/>
          <w:sz w:val="23"/>
          <w:szCs w:val="23"/>
          <w:highlight w:val="darkMagenta"/>
        </w:rPr>
        <w:t>: Temperaturverlauf der Kompostierung mit Phasen (mesophile, thermophile etc.).</w:t>
      </w:r>
      <w:r>
        <w:rPr>
          <w:rFonts w:ascii="Rockwell" w:hAnsi="Rockwell" w:cs="Rockwell" w:eastAsia="Rockwell"/>
          <w:color w:val="ffffff"/>
          <w:sz w:val="23"/>
          <w:szCs w:val="23"/>
          <w:highlight w:val="darkMagenta"/>
        </w:rPr>
        <w:t xml:space="preserve">
</w:t>
      </w:r>
    </w:p>
    <w:p>
      <w:pPr>
        <w:numPr>
          <w:ilvl w:val="1"/>
          <w:numId w:val="11"/>
        </w:numPr>
        <w:spacing w:after="0" w:before="0" w:line="354" w:lineRule="auto"/>
        <w:jc w:val="start"/>
      </w:pPr>
      <w:r>
        <w:rPr>
          <w:rFonts w:ascii="Rockwell Bold" w:hAnsi="Rockwell Bold" w:cs="Rockwell Bold" w:eastAsia="Rockwell Bold"/>
          <w:b/>
          <w:bCs/>
          <w:color w:val="ffffff"/>
          <w:sz w:val="23"/>
          <w:szCs w:val="23"/>
          <w:highlight w:val="darkMagenta"/>
        </w:rPr>
        <w:t>Bild 14</w:t>
      </w:r>
      <w:r>
        <w:rPr>
          <w:rFonts w:ascii="Rockwell" w:hAnsi="Rockwell" w:cs="Rockwell" w:eastAsia="Rockwell"/>
          <w:color w:val="ffffff"/>
          <w:sz w:val="23"/>
          <w:szCs w:val="23"/>
          <w:highlight w:val="darkMagenta"/>
        </w:rPr>
        <w:t>: Kumulative Anzahl reifer Tomaten über Zeit, mit Linien für verschiedene Behandlungen.</w:t>
      </w:r>
      <w:r>
        <w:rPr>
          <w:rFonts w:ascii="Rockwell" w:hAnsi="Rockwell" w:cs="Rockwell" w:eastAsia="Rockwell"/>
          <w:color w:val="ffffff"/>
          <w:sz w:val="23"/>
          <w:szCs w:val="23"/>
          <w:highlight w:val="darkMagenta"/>
        </w:rPr>
        <w:t xml:space="preserve">
</w:t>
      </w:r>
    </w:p>
    <w:p>
      <w:pPr>
        <w:numPr>
          <w:ilvl w:val="0"/>
          <w:numId w:val="11"/>
        </w:numPr>
        <w:spacing w:after="0" w:before="0" w:line="354" w:lineRule="auto"/>
        <w:jc w:val="start"/>
      </w:pPr>
      <w:r>
        <w:rPr>
          <w:rFonts w:ascii="Rockwell Bold" w:hAnsi="Rockwell Bold" w:cs="Rockwell Bold" w:eastAsia="Rockwell Bold"/>
          <w:b/>
          <w:bCs/>
          <w:color w:val="ffffff"/>
          <w:sz w:val="23"/>
          <w:szCs w:val="23"/>
          <w:highlight w:val="darkMagenta"/>
        </w:rPr>
        <w:t>Struktur</w:t>
      </w:r>
      <w:r>
        <w:rPr>
          <w:rFonts w:ascii="Rockwell" w:hAnsi="Rockwell" w:cs="Rockwell" w:eastAsia="Rockwell"/>
          <w:color w:val="ffffff"/>
          <w:sz w:val="23"/>
          <w:szCs w:val="23"/>
          <w:highlight w:val="darkMagenta"/>
        </w:rPr>
        <w:t>: Visuelle Darstellungen mit Achsenbeschriftungen, Legenden und Symbolen (z. B. Linien, Balken) zur Unterscheidung von Datenreihen.</w:t>
      </w:r>
      <w:r>
        <w:rPr>
          <w:rFonts w:ascii="Rockwell" w:hAnsi="Rockwell" w:cs="Rockwell" w:eastAsia="Rockwell"/>
          <w:color w:val="ffffff"/>
          <w:sz w:val="23"/>
          <w:szCs w:val="23"/>
          <w:highlight w:val="darkMagenta"/>
        </w:rPr>
        <w:t xml:space="preserve">
</w:t>
      </w:r>
    </w:p>
    <w:p>
      <w:pPr>
        <w:numPr>
          <w:ilvl w:val="0"/>
          <w:numId w:val="11"/>
        </w:numPr>
        <w:spacing w:after="0" w:before="0" w:line="354" w:lineRule="auto"/>
        <w:jc w:val="start"/>
      </w:pPr>
      <w:r>
        <w:rPr>
          <w:rFonts w:ascii="Rockwell Bold" w:hAnsi="Rockwell Bold" w:cs="Rockwell Bold" w:eastAsia="Rockwell Bold"/>
          <w:b/>
          <w:bCs/>
          <w:color w:val="ffffff"/>
          <w:sz w:val="23"/>
          <w:szCs w:val="23"/>
          <w:highlight w:val="darkMagenta"/>
        </w:rPr>
        <w:t>Schlüsselinformationen</w:t>
      </w:r>
      <w:r>
        <w:rPr>
          <w:rFonts w:ascii="Rockwell" w:hAnsi="Rockwell" w:cs="Rockwell" w:eastAsia="Rockwell"/>
          <w:color w:val="ffffff"/>
          <w:sz w:val="23"/>
          <w:szCs w:val="23"/>
          <w:highlight w:val="darkMagenta"/>
        </w:rPr>
        <w:t>: Zeigen Prozesse (z. B. Kompostierung), zeitliche Entwicklungen (z. B. Temperatur) oder Vergleiche (z. B. Ertrag unter verschiedenen Bedingungen).</w:t>
      </w:r>
      <w:r>
        <w:rPr>
          <w:rFonts w:ascii="Rockwell" w:hAnsi="Rockwell" w:cs="Rockwell" w:eastAsia="Rockwell"/>
          <w:color w:val="ffffff"/>
          <w:sz w:val="23"/>
          <w:szCs w:val="23"/>
          <w:highlight w:val="darkMagenta"/>
        </w:rPr>
        <w:t xml:space="preserve">
</w:t>
      </w:r>
    </w:p>
    <w:p>
      <w:pPr>
        <w:numPr>
          <w:ilvl w:val="0"/>
          <w:numId w:val="11"/>
        </w:numPr>
        <w:spacing w:after="0" w:before="0" w:line="354" w:lineRule="auto"/>
        <w:jc w:val="start"/>
      </w:pPr>
      <w:r>
        <w:rPr>
          <w:rFonts w:ascii="Rockwell Bold" w:hAnsi="Rockwell Bold" w:cs="Rockwell Bold" w:eastAsia="Rockwell Bold"/>
          <w:b/>
          <w:bCs/>
          <w:color w:val="ffffff"/>
          <w:sz w:val="23"/>
          <w:szCs w:val="23"/>
          <w:highlight w:val="darkMagenta"/>
        </w:rPr>
        <w:t>Interpretationsschwierigkeit</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1"/>
          <w:numId w:val="11"/>
        </w:numPr>
        <w:spacing w:after="0" w:before="0" w:line="354" w:lineRule="auto"/>
        <w:jc w:val="start"/>
      </w:pPr>
      <w:r>
        <w:rPr>
          <w:rFonts w:ascii="Rockwell Bold" w:hAnsi="Rockwell Bold" w:cs="Rockwell Bold" w:eastAsia="Rockwell Bold"/>
          <w:b/>
          <w:bCs/>
          <w:color w:val="ffffff"/>
          <w:sz w:val="23"/>
          <w:szCs w:val="23"/>
          <w:highlight w:val="darkMagenta"/>
        </w:rPr>
        <w:t>Für Experten</w:t>
      </w:r>
      <w:r>
        <w:rPr>
          <w:rFonts w:ascii="Rockwell" w:hAnsi="Rockwell" w:cs="Rockwell" w:eastAsia="Rockwell"/>
          <w:color w:val="ffffff"/>
          <w:sz w:val="23"/>
          <w:szCs w:val="23"/>
          <w:highlight w:val="darkMagenta"/>
        </w:rPr>
        <w:t>: Klare Beschriftungen und standardisierte Formate machen sie leicht verständlich.</w:t>
      </w:r>
      <w:r>
        <w:rPr>
          <w:rFonts w:ascii="Rockwell" w:hAnsi="Rockwell" w:cs="Rockwell" w:eastAsia="Rockwell"/>
          <w:color w:val="ffffff"/>
          <w:sz w:val="23"/>
          <w:szCs w:val="23"/>
          <w:highlight w:val="darkMagenta"/>
        </w:rPr>
        <w:t xml:space="preserve">
</w:t>
      </w:r>
    </w:p>
    <w:p>
      <w:pPr>
        <w:numPr>
          <w:ilvl w:val="1"/>
          <w:numId w:val="11"/>
        </w:numPr>
        <w:spacing w:after="0" w:before="0" w:line="354" w:lineRule="auto"/>
        <w:jc w:val="start"/>
      </w:pPr>
      <w:r>
        <w:rPr>
          <w:rFonts w:ascii="Rockwell Bold" w:hAnsi="Rockwell Bold" w:cs="Rockwell Bold" w:eastAsia="Rockwell Bold"/>
          <w:b/>
          <w:bCs/>
          <w:color w:val="ffffff"/>
          <w:sz w:val="23"/>
          <w:szCs w:val="23"/>
          <w:highlight w:val="darkMagenta"/>
        </w:rPr>
        <w:t>Für Laien</w:t>
      </w:r>
      <w:r>
        <w:rPr>
          <w:rFonts w:ascii="Rockwell" w:hAnsi="Rockwell" w:cs="Rockwell" w:eastAsia="Rockwell"/>
          <w:color w:val="ffffff"/>
          <w:sz w:val="23"/>
          <w:szCs w:val="23"/>
          <w:highlight w:val="darkMagenta"/>
        </w:rPr>
        <w:t>: Fachjargon (z. B. „Thermophile Phase“) und das Erkennen von Datenmustern könnten Herausforderungen darstellen.</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3. Matrizen</w:t>
      </w:r>
      <w:r>
        <w:rPr>
          <w:rFonts w:ascii="Rockwell" w:hAnsi="Rockwell" w:cs="Rockwell" w:eastAsia="Rockwell"/>
          <w:color w:val="ffffff"/>
          <w:sz w:val="23"/>
          <w:szCs w:val="23"/>
          <w:highlight w:val="darkMagenta"/>
        </w:rPr>
        <w:t xml:space="preserve">
</w:t>
      </w:r>
    </w:p>
    <w:p>
      <w:pPr>
        <w:numPr>
          <w:ilvl w:val="0"/>
          <w:numId w:val="12"/>
        </w:numPr>
        <w:spacing w:after="0" w:before="0" w:line="354" w:lineRule="auto"/>
        <w:jc w:val="start"/>
      </w:pPr>
      <w:r>
        <w:rPr>
          <w:rFonts w:ascii="Rockwell Bold" w:hAnsi="Rockwell Bold" w:cs="Rockwell Bold" w:eastAsia="Rockwell Bold"/>
          <w:b/>
          <w:bCs/>
          <w:color w:val="ffffff"/>
          <w:sz w:val="23"/>
          <w:szCs w:val="23"/>
          <w:highlight w:val="darkMagenta"/>
        </w:rPr>
        <w:t>Beispiel</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1"/>
          <w:numId w:val="12"/>
        </w:numPr>
        <w:spacing w:after="0" w:before="0" w:line="354" w:lineRule="auto"/>
        <w:jc w:val="start"/>
      </w:pPr>
      <w:r>
        <w:rPr>
          <w:rFonts w:ascii="Rockwell Bold" w:hAnsi="Rockwell Bold" w:cs="Rockwell Bold" w:eastAsia="Rockwell Bold"/>
          <w:b/>
          <w:bCs/>
          <w:color w:val="ffffff"/>
          <w:sz w:val="23"/>
          <w:szCs w:val="23"/>
          <w:highlight w:val="darkMagenta"/>
        </w:rPr>
        <w:t>Bild 1</w:t>
      </w:r>
      <w:r>
        <w:rPr>
          <w:rFonts w:ascii="Rockwell" w:hAnsi="Rockwell" w:cs="Rockwell" w:eastAsia="Rockwell"/>
          <w:color w:val="ffffff"/>
          <w:sz w:val="23"/>
          <w:szCs w:val="23"/>
          <w:highlight w:val="darkMagenta"/>
        </w:rPr>
        <w:t>: Eine 25×25 Zufallsmatrix mit spärlich besetzten Werten (0 bis 74), meist Nullen.</w:t>
      </w:r>
      <w:r>
        <w:rPr>
          <w:rFonts w:ascii="Rockwell" w:hAnsi="Rockwell" w:cs="Rockwell" w:eastAsia="Rockwell"/>
          <w:color w:val="ffffff"/>
          <w:sz w:val="23"/>
          <w:szCs w:val="23"/>
          <w:highlight w:val="darkMagenta"/>
        </w:rPr>
        <w:t xml:space="preserve">
</w:t>
      </w:r>
    </w:p>
    <w:p>
      <w:pPr>
        <w:numPr>
          <w:ilvl w:val="0"/>
          <w:numId w:val="12"/>
        </w:numPr>
        <w:spacing w:after="0" w:before="0" w:line="354" w:lineRule="auto"/>
        <w:jc w:val="start"/>
      </w:pPr>
      <w:r>
        <w:rPr>
          <w:rFonts w:ascii="Rockwell Bold" w:hAnsi="Rockwell Bold" w:cs="Rockwell Bold" w:eastAsia="Rockwell Bold"/>
          <w:b/>
          <w:bCs/>
          <w:color w:val="ffffff"/>
          <w:sz w:val="23"/>
          <w:szCs w:val="23"/>
          <w:highlight w:val="darkMagenta"/>
        </w:rPr>
        <w:t>Struktur</w:t>
      </w:r>
      <w:r>
        <w:rPr>
          <w:rFonts w:ascii="Rockwell" w:hAnsi="Rockwell" w:cs="Rockwell" w:eastAsia="Rockwell"/>
          <w:color w:val="ffffff"/>
          <w:sz w:val="23"/>
          <w:szCs w:val="23"/>
          <w:highlight w:val="darkMagenta"/>
        </w:rPr>
        <w:t>: Quadratische Anordnung mit einfachen Ganzzahlen, klar dargestellt.</w:t>
      </w:r>
      <w:r>
        <w:rPr>
          <w:rFonts w:ascii="Rockwell" w:hAnsi="Rockwell" w:cs="Rockwell" w:eastAsia="Rockwell"/>
          <w:color w:val="ffffff"/>
          <w:sz w:val="23"/>
          <w:szCs w:val="23"/>
          <w:highlight w:val="darkMagenta"/>
        </w:rPr>
        <w:t xml:space="preserve">
</w:t>
      </w:r>
    </w:p>
    <w:p>
      <w:pPr>
        <w:numPr>
          <w:ilvl w:val="0"/>
          <w:numId w:val="12"/>
        </w:numPr>
        <w:spacing w:after="0" w:before="0" w:line="354" w:lineRule="auto"/>
        <w:jc w:val="start"/>
      </w:pPr>
      <w:r>
        <w:rPr>
          <w:rFonts w:ascii="Rockwell Bold" w:hAnsi="Rockwell Bold" w:cs="Rockwell Bold" w:eastAsia="Rockwell Bold"/>
          <w:b/>
          <w:bCs/>
          <w:color w:val="ffffff"/>
          <w:sz w:val="23"/>
          <w:szCs w:val="23"/>
          <w:highlight w:val="darkMagenta"/>
        </w:rPr>
        <w:t>Schlüsselinformationen</w:t>
      </w:r>
      <w:r>
        <w:rPr>
          <w:rFonts w:ascii="Rockwell" w:hAnsi="Rockwell" w:cs="Rockwell" w:eastAsia="Rockwell"/>
          <w:color w:val="ffffff"/>
          <w:sz w:val="23"/>
          <w:szCs w:val="23"/>
          <w:highlight w:val="darkMagenta"/>
        </w:rPr>
        <w:t>: Titel („K := random(25)“) deutet auf eine zufällige Generierung hin; der Zweck ist nicht sofort ersichtlich.</w:t>
      </w:r>
      <w:r>
        <w:rPr>
          <w:rFonts w:ascii="Rockwell" w:hAnsi="Rockwell" w:cs="Rockwell" w:eastAsia="Rockwell"/>
          <w:color w:val="ffffff"/>
          <w:sz w:val="23"/>
          <w:szCs w:val="23"/>
          <w:highlight w:val="darkMagenta"/>
        </w:rPr>
        <w:t xml:space="preserve">
</w:t>
      </w:r>
    </w:p>
    <w:p>
      <w:pPr>
        <w:numPr>
          <w:ilvl w:val="0"/>
          <w:numId w:val="12"/>
        </w:numPr>
        <w:spacing w:after="0" w:before="0" w:line="354" w:lineRule="auto"/>
        <w:jc w:val="start"/>
      </w:pPr>
      <w:r>
        <w:rPr>
          <w:rFonts w:ascii="Rockwell Bold" w:hAnsi="Rockwell Bold" w:cs="Rockwell Bold" w:eastAsia="Rockwell Bold"/>
          <w:b/>
          <w:bCs/>
          <w:color w:val="ffffff"/>
          <w:sz w:val="23"/>
          <w:szCs w:val="23"/>
          <w:highlight w:val="darkMagenta"/>
        </w:rPr>
        <w:t>Interpretationsschwierigkeit</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1"/>
          <w:numId w:val="12"/>
        </w:numPr>
        <w:spacing w:after="0" w:before="0" w:line="354" w:lineRule="auto"/>
        <w:jc w:val="start"/>
      </w:pPr>
      <w:r>
        <w:rPr>
          <w:rFonts w:ascii="Rockwell Bold" w:hAnsi="Rockwell Bold" w:cs="Rockwell Bold" w:eastAsia="Rockwell Bold"/>
          <w:b/>
          <w:bCs/>
          <w:color w:val="ffffff"/>
          <w:sz w:val="23"/>
          <w:szCs w:val="23"/>
          <w:highlight w:val="darkMagenta"/>
        </w:rPr>
        <w:t>Für Experten</w:t>
      </w:r>
      <w:r>
        <w:rPr>
          <w:rFonts w:ascii="Rockwell" w:hAnsi="Rockwell" w:cs="Rockwell" w:eastAsia="Rockwell"/>
          <w:color w:val="ffffff"/>
          <w:sz w:val="23"/>
          <w:szCs w:val="23"/>
          <w:highlight w:val="darkMagenta"/>
        </w:rPr>
        <w:t>: Einfach strukturiert, aber der Kontext (z. B. Simulation biologischer Interaktionen) muss bekannt sein.</w:t>
      </w:r>
      <w:r>
        <w:rPr>
          <w:rFonts w:ascii="Rockwell" w:hAnsi="Rockwell" w:cs="Rockwell" w:eastAsia="Rockwell"/>
          <w:color w:val="ffffff"/>
          <w:sz w:val="23"/>
          <w:szCs w:val="23"/>
          <w:highlight w:val="darkMagenta"/>
        </w:rPr>
        <w:t xml:space="preserve">
</w:t>
      </w:r>
    </w:p>
    <w:p>
      <w:pPr>
        <w:numPr>
          <w:ilvl w:val="1"/>
          <w:numId w:val="12"/>
        </w:numPr>
        <w:spacing w:after="0" w:before="0" w:line="354" w:lineRule="auto"/>
        <w:jc w:val="start"/>
      </w:pPr>
      <w:r>
        <w:rPr>
          <w:rFonts w:ascii="Rockwell Bold" w:hAnsi="Rockwell Bold" w:cs="Rockwell Bold" w:eastAsia="Rockwell Bold"/>
          <w:b/>
          <w:bCs/>
          <w:color w:val="ffffff"/>
          <w:sz w:val="23"/>
          <w:szCs w:val="23"/>
          <w:highlight w:val="darkMagenta"/>
        </w:rPr>
        <w:t>Für Laien</w:t>
      </w:r>
      <w:r>
        <w:rPr>
          <w:rFonts w:ascii="Rockwell" w:hAnsi="Rockwell" w:cs="Rockwell" w:eastAsia="Rockwell"/>
          <w:color w:val="ffffff"/>
          <w:sz w:val="23"/>
          <w:szCs w:val="23"/>
          <w:highlight w:val="darkMagenta"/>
        </w:rPr>
        <w:t>: Die Größe und scheinbar chaotische Verteilung könnten verwirrend sein, besonders ohne Erklärung.</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Einschätzung der Komplexität</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Die Komplexität der Bilder variiert je nach Zielgruppe:
</w:t>
      </w:r>
    </w:p>
    <w:p>
      <w:pPr>
        <w:numPr>
          <w:ilvl w:val="0"/>
          <w:numId w:val="13"/>
        </w:numPr>
        <w:spacing w:after="0" w:before="0" w:line="354" w:lineRule="auto"/>
        <w:jc w:val="start"/>
      </w:pPr>
      <w:r>
        <w:rPr>
          <w:rFonts w:ascii="Rockwell Bold" w:hAnsi="Rockwell Bold" w:cs="Rockwell Bold" w:eastAsia="Rockwell Bold"/>
          <w:b/>
          <w:bCs/>
          <w:color w:val="ffffff"/>
          <w:sz w:val="23"/>
          <w:szCs w:val="23"/>
          <w:highlight w:val="darkMagenta"/>
        </w:rPr>
        <w:t>Für Experten (z. B. Wissenschaftler, Agrarpraktiker)</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1"/>
          <w:numId w:val="13"/>
        </w:numPr>
        <w:spacing w:after="0" w:before="0" w:line="354" w:lineRule="auto"/>
        <w:jc w:val="start"/>
      </w:pPr>
      <w:r>
        <w:rPr>
          <w:rFonts w:ascii="Rockwell" w:hAnsi="Rockwell" w:cs="Rockwell" w:eastAsia="Rockwell"/>
          <w:color w:val="ffffff"/>
          <w:sz w:val="23"/>
          <w:szCs w:val="23"/>
          <w:highlight w:val="darkMagenta"/>
        </w:rPr>
        <w:t xml:space="preserve">Die Bilder sind </w:t>
      </w:r>
      <w:r>
        <w:rPr>
          <w:rFonts w:ascii="Rockwell Bold" w:hAnsi="Rockwell Bold" w:cs="Rockwell Bold" w:eastAsia="Rockwell Bold"/>
          <w:b/>
          <w:bCs/>
          <w:color w:val="ffffff"/>
          <w:sz w:val="23"/>
          <w:szCs w:val="23"/>
          <w:highlight w:val="darkMagenta"/>
        </w:rPr>
        <w:t>nicht zu kompliziert</w:t>
      </w:r>
      <w:r>
        <w:rPr>
          <w:rFonts w:ascii="Rockwell" w:hAnsi="Rockwell" w:cs="Rockwell" w:eastAsia="Rockwell"/>
          <w:color w:val="ffffff"/>
          <w:sz w:val="23"/>
          <w:szCs w:val="23"/>
          <w:highlight w:val="darkMagenta"/>
        </w:rPr>
        <w:t>. Sie verwenden vertraute Darstellungen (Tabellen mit Signifikanzangaben, standardisierte Diagramme) und sind logisch organisiert. Fachbegriffe und Notationen sind in diesen Disziplinen üblich und daher leicht verständlich.</w:t>
      </w:r>
      <w:r>
        <w:rPr>
          <w:rFonts w:ascii="Rockwell" w:hAnsi="Rockwell" w:cs="Rockwell" w:eastAsia="Rockwell"/>
          <w:color w:val="ffffff"/>
          <w:sz w:val="23"/>
          <w:szCs w:val="23"/>
          <w:highlight w:val="darkMagenta"/>
        </w:rPr>
        <w:t xml:space="preserve">
</w:t>
      </w:r>
    </w:p>
    <w:p>
      <w:pPr>
        <w:numPr>
          <w:ilvl w:val="1"/>
          <w:numId w:val="13"/>
        </w:numPr>
        <w:spacing w:after="0" w:before="0" w:line="354" w:lineRule="auto"/>
        <w:jc w:val="start"/>
      </w:pPr>
      <w:r>
        <w:rPr>
          <w:rFonts w:ascii="Rockwell" w:hAnsi="Rockwell" w:cs="Rockwell" w:eastAsia="Rockwell"/>
          <w:color w:val="ffffff"/>
          <w:sz w:val="23"/>
          <w:szCs w:val="23"/>
          <w:highlight w:val="darkMagenta"/>
        </w:rPr>
        <w:t>Beispiel: Bild 0 (Korrelationsmatrix) ist für Biologen mit Statistikkenntnissen klar, da Sternchen für Signifikanz vertraut sind.</w:t>
      </w:r>
      <w:r>
        <w:rPr>
          <w:rFonts w:ascii="Rockwell" w:hAnsi="Rockwell" w:cs="Rockwell" w:eastAsia="Rockwell"/>
          <w:color w:val="ffffff"/>
          <w:sz w:val="23"/>
          <w:szCs w:val="23"/>
          <w:highlight w:val="darkMagenta"/>
        </w:rPr>
        <w:t xml:space="preserve">
</w:t>
      </w:r>
    </w:p>
    <w:p>
      <w:pPr>
        <w:numPr>
          <w:ilvl w:val="0"/>
          <w:numId w:val="13"/>
        </w:numPr>
        <w:spacing w:after="0" w:before="0" w:line="354" w:lineRule="auto"/>
        <w:jc w:val="start"/>
      </w:pPr>
      <w:r>
        <w:rPr>
          <w:rFonts w:ascii="Rockwell Bold" w:hAnsi="Rockwell Bold" w:cs="Rockwell Bold" w:eastAsia="Rockwell Bold"/>
          <w:b/>
          <w:bCs/>
          <w:color w:val="ffffff"/>
          <w:sz w:val="23"/>
          <w:szCs w:val="23"/>
          <w:highlight w:val="darkMagenta"/>
        </w:rPr>
        <w:t>Für Laien (ohne Fachwissen)</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1"/>
          <w:numId w:val="13"/>
        </w:numPr>
        <w:spacing w:after="0" w:before="0" w:line="354" w:lineRule="auto"/>
        <w:jc w:val="start"/>
      </w:pPr>
      <w:r>
        <w:rPr>
          <w:rFonts w:ascii="Rockwell" w:hAnsi="Rockwell" w:cs="Rockwell" w:eastAsia="Rockwell"/>
          <w:color w:val="ffffff"/>
          <w:sz w:val="23"/>
          <w:szCs w:val="23"/>
          <w:highlight w:val="darkMagenta"/>
        </w:rPr>
        <w:t xml:space="preserve">Einige Bilder könnten </w:t>
      </w:r>
      <w:r>
        <w:rPr>
          <w:rFonts w:ascii="Rockwell Bold" w:hAnsi="Rockwell Bold" w:cs="Rockwell Bold" w:eastAsia="Rockwell Bold"/>
          <w:b/>
          <w:bCs/>
          <w:color w:val="ffffff"/>
          <w:sz w:val="23"/>
          <w:szCs w:val="23"/>
          <w:highlight w:val="darkMagenta"/>
        </w:rPr>
        <w:t>zu kompliziert</w:t>
      </w:r>
      <w:r>
        <w:rPr>
          <w:rFonts w:ascii="Rockwell" w:hAnsi="Rockwell" w:cs="Rockwell" w:eastAsia="Rockwell"/>
          <w:color w:val="ffffff"/>
          <w:sz w:val="23"/>
          <w:szCs w:val="23"/>
          <w:highlight w:val="darkMagenta"/>
        </w:rPr>
        <w:t xml:space="preserve"> wirken. Die Vielzahl an Daten, spezifische Begriffe (z. B. „ß-Glucosidase“, „Humifizierung“) und die Notwendigkeit, statistische oder visuelle Muster zu interpretieren, stellen Barrieren dar.</w:t>
      </w:r>
      <w:r>
        <w:rPr>
          <w:rFonts w:ascii="Rockwell" w:hAnsi="Rockwell" w:cs="Rockwell" w:eastAsia="Rockwell"/>
          <w:color w:val="ffffff"/>
          <w:sz w:val="23"/>
          <w:szCs w:val="23"/>
          <w:highlight w:val="darkMagenta"/>
        </w:rPr>
        <w:t xml:space="preserve">
</w:t>
      </w:r>
    </w:p>
    <w:p>
      <w:pPr>
        <w:numPr>
          <w:ilvl w:val="1"/>
          <w:numId w:val="13"/>
        </w:numPr>
        <w:spacing w:after="0" w:before="0" w:line="354" w:lineRule="auto"/>
        <w:jc w:val="start"/>
      </w:pPr>
      <w:r>
        <w:rPr>
          <w:rFonts w:ascii="Rockwell" w:hAnsi="Rockwell" w:cs="Rockwell" w:eastAsia="Rockwell"/>
          <w:color w:val="ffffff"/>
          <w:sz w:val="23"/>
          <w:szCs w:val="23"/>
          <w:highlight w:val="darkMagenta"/>
        </w:rPr>
        <w:t>Beispiel: Bild 2 (Kompostierungsdiagramm) enthält Begriffe wie „Nitrifizierung“ oder „Lignoprotein“, die ohne Kontext schwer nachvollziehbar sind.</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Fazit</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Die Bilder sind für ihre </w:t>
      </w:r>
      <w:r>
        <w:rPr>
          <w:rFonts w:ascii="Rockwell Bold" w:hAnsi="Rockwell Bold" w:cs="Rockwell Bold" w:eastAsia="Rockwell Bold"/>
          <w:b/>
          <w:bCs/>
          <w:color w:val="ffffff"/>
          <w:sz w:val="23"/>
          <w:szCs w:val="23"/>
          <w:highlight w:val="darkMagenta"/>
        </w:rPr>
        <w:t>wissenschaftliche Zielgruppe</w:t>
      </w:r>
      <w:r>
        <w:rPr>
          <w:rFonts w:ascii="Rockwell" w:hAnsi="Rockwell" w:cs="Rockwell" w:eastAsia="Rockwell"/>
          <w:color w:val="ffffff"/>
          <w:sz w:val="23"/>
          <w:szCs w:val="23"/>
          <w:highlight w:val="darkMagenta"/>
        </w:rPr>
        <w:t xml:space="preserve"> – Leser mit Hintergrundwissen in Biologie, Biochemie oder Agrarwissenschaften – </w:t>
      </w:r>
      <w:r>
        <w:rPr>
          <w:rFonts w:ascii="Rockwell Bold" w:hAnsi="Rockwell Bold" w:cs="Rockwell Bold" w:eastAsia="Rockwell Bold"/>
          <w:b/>
          <w:bCs/>
          <w:color w:val="ffffff"/>
          <w:sz w:val="23"/>
          <w:szCs w:val="23"/>
          <w:highlight w:val="darkMagenta"/>
        </w:rPr>
        <w:t>angemessen komplex</w:t>
      </w:r>
      <w:r>
        <w:rPr>
          <w:rFonts w:ascii="Rockwell" w:hAnsi="Rockwell" w:cs="Rockwell" w:eastAsia="Rockwell"/>
          <w:color w:val="ffffff"/>
          <w:sz w:val="23"/>
          <w:szCs w:val="23"/>
          <w:highlight w:val="darkMagenta"/>
        </w:rPr>
        <w:t xml:space="preserve">. Sie sind klar strukturiert, informativ und nutzen Standardformate, die Experten vertraut sind. Für eine </w:t>
      </w:r>
      <w:r>
        <w:rPr>
          <w:rFonts w:ascii="Rockwell Bold" w:hAnsi="Rockwell Bold" w:cs="Rockwell Bold" w:eastAsia="Rockwell Bold"/>
          <w:b/>
          <w:bCs/>
          <w:color w:val="ffffff"/>
          <w:sz w:val="23"/>
          <w:szCs w:val="23"/>
          <w:highlight w:val="darkMagenta"/>
        </w:rPr>
        <w:t>allgemeine Leserschaft</w:t>
      </w:r>
      <w:r>
        <w:rPr>
          <w:rFonts w:ascii="Rockwell" w:hAnsi="Rockwell" w:cs="Rockwell" w:eastAsia="Rockwell"/>
          <w:color w:val="ffffff"/>
          <w:sz w:val="23"/>
          <w:szCs w:val="23"/>
          <w:highlight w:val="darkMagenta"/>
        </w:rPr>
        <w:t xml:space="preserve"> könnten sie jedoch </w:t>
      </w:r>
      <w:r>
        <w:rPr>
          <w:rFonts w:ascii="Rockwell Bold" w:hAnsi="Rockwell Bold" w:cs="Rockwell Bold" w:eastAsia="Rockwell Bold"/>
          <w:b/>
          <w:bCs/>
          <w:color w:val="ffffff"/>
          <w:sz w:val="23"/>
          <w:szCs w:val="23"/>
          <w:highlight w:val="darkMagenta"/>
        </w:rPr>
        <w:t>zu kompliziert</w:t>
      </w:r>
      <w:r>
        <w:rPr>
          <w:rFonts w:ascii="Rockwell" w:hAnsi="Rockwell" w:cs="Rockwell" w:eastAsia="Rockwell"/>
          <w:color w:val="ffffff"/>
          <w:sz w:val="23"/>
          <w:szCs w:val="23"/>
          <w:highlight w:val="darkMagenta"/>
        </w:rPr>
        <w:t xml:space="preserve"> sein, da sie Fachwissen voraussetzen und ohne zusätzliche Erklärungen schwer verständlich sind. Ob die Bilder „zu kompliziert“ sind, hängt also von Ihrem Hintergrund ab: Wenn Sie über relevantes Wissen verfügen, sind sie gut zugänglich; ohne dieses Wissen könnten sie herausfordernd erscheinen.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 =================================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Entschuldigung, ich kann die in den Bildern enthaltenen Daten nicht direkt anzeigen oder analysieren. Basierend auf den Beschreibungen der Bildanhänge werde ich jedoch Ihre Anfrage nach zusätzlichen Daten („plus weitere Daten“) so gut wie möglich beantworten. Die bereitgestellten Daten umfassen eine Korrelationsmatrix, eine Zufallsmatrix, Diagramme zur Kompostierung, Ertragsdaten von Tomaten, eine Tabelle zu Pflanzenparametern sowie weitere Tabellen zu Chicory (Wegwarte) und Plantain (Blattwegerich). Diese Daten sind Teil eines Feldversuchs mit einem Blockdesign, drei Faktoren und drei Wiederholungen. Die Faktoren sind:
</w:t>
      </w:r>
    </w:p>
    <w:p>
      <w:pPr>
        <w:numPr>
          <w:ilvl w:val="0"/>
          <w:numId w:val="14"/>
        </w:numPr>
        <w:spacing w:after="0" w:before="0" w:line="354" w:lineRule="auto"/>
        <w:jc w:val="start"/>
      </w:pPr>
      <w:r>
        <w:rPr>
          <w:rFonts w:ascii="Rockwell Bold" w:hAnsi="Rockwell Bold" w:cs="Rockwell Bold" w:eastAsia="Rockwell Bold"/>
          <w:b/>
          <w:bCs/>
          <w:color w:val="ffffff"/>
          <w:sz w:val="23"/>
          <w:szCs w:val="23"/>
          <w:highlight w:val="darkMagenta"/>
        </w:rPr>
        <w:t>Faktor 1</w:t>
      </w:r>
      <w:r>
        <w:rPr>
          <w:rFonts w:ascii="Rockwell" w:hAnsi="Rockwell" w:cs="Rockwell" w:eastAsia="Rockwell"/>
          <w:color w:val="ffffff"/>
          <w:sz w:val="23"/>
          <w:szCs w:val="23"/>
          <w:highlight w:val="darkMagenta"/>
        </w:rPr>
        <w:t>: Mit oder ohne Kompost/Mist</w:t>
      </w:r>
      <w:r>
        <w:rPr>
          <w:rFonts w:ascii="Rockwell" w:hAnsi="Rockwell" w:cs="Rockwell" w:eastAsia="Rockwell"/>
          <w:color w:val="ffffff"/>
          <w:sz w:val="23"/>
          <w:szCs w:val="23"/>
          <w:highlight w:val="darkMagenta"/>
        </w:rPr>
        <w:t xml:space="preserve">
</w:t>
      </w:r>
    </w:p>
    <w:p>
      <w:pPr>
        <w:numPr>
          <w:ilvl w:val="0"/>
          <w:numId w:val="14"/>
        </w:numPr>
        <w:spacing w:after="0" w:before="0" w:line="354" w:lineRule="auto"/>
        <w:jc w:val="start"/>
      </w:pPr>
      <w:r>
        <w:rPr>
          <w:rFonts w:ascii="Rockwell Bold" w:hAnsi="Rockwell Bold" w:cs="Rockwell Bold" w:eastAsia="Rockwell Bold"/>
          <w:b/>
          <w:bCs/>
          <w:color w:val="ffffff"/>
          <w:sz w:val="23"/>
          <w:szCs w:val="23"/>
          <w:highlight w:val="darkMagenta"/>
        </w:rPr>
        <w:t>Faktor 2</w:t>
      </w:r>
      <w:r>
        <w:rPr>
          <w:rFonts w:ascii="Rockwell" w:hAnsi="Rockwell" w:cs="Rockwell" w:eastAsia="Rockwell"/>
          <w:color w:val="ffffff"/>
          <w:sz w:val="23"/>
          <w:szCs w:val="23"/>
          <w:highlight w:val="darkMagenta"/>
        </w:rPr>
        <w:t>: Mit oder ohne Präparate</w:t>
      </w:r>
      <w:r>
        <w:rPr>
          <w:rFonts w:ascii="Rockwell" w:hAnsi="Rockwell" w:cs="Rockwell" w:eastAsia="Rockwell"/>
          <w:color w:val="ffffff"/>
          <w:sz w:val="23"/>
          <w:szCs w:val="23"/>
          <w:highlight w:val="darkMagenta"/>
        </w:rPr>
        <w:t xml:space="preserve">
</w:t>
      </w:r>
    </w:p>
    <w:p>
      <w:pPr>
        <w:numPr>
          <w:ilvl w:val="0"/>
          <w:numId w:val="14"/>
        </w:numPr>
        <w:spacing w:after="0" w:before="0" w:line="354" w:lineRule="auto"/>
        <w:jc w:val="start"/>
      </w:pPr>
      <w:r>
        <w:rPr>
          <w:rFonts w:ascii="Rockwell Bold" w:hAnsi="Rockwell Bold" w:cs="Rockwell Bold" w:eastAsia="Rockwell Bold"/>
          <w:b/>
          <w:bCs/>
          <w:color w:val="ffffff"/>
          <w:sz w:val="23"/>
          <w:szCs w:val="23"/>
          <w:highlight w:val="darkMagenta"/>
        </w:rPr>
        <w:t>Faktor 3</w:t>
      </w:r>
      <w:r>
        <w:rPr>
          <w:rFonts w:ascii="Rockwell" w:hAnsi="Rockwell" w:cs="Rockwell" w:eastAsia="Rockwell"/>
          <w:color w:val="ffffff"/>
          <w:sz w:val="23"/>
          <w:szCs w:val="23"/>
          <w:highlight w:val="darkMagenta"/>
        </w:rPr>
        <w:t>: Wahrscheinlich der Kompostrottegrad oder eine andere Variable</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Ich werde die relevanten Daten strukturiert analysieren und interpretieren, um die Beziehungen und Effekte der Behandlungen auf die Pflanzenparameter zu verstehen.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1. Analyse der Korrelationsmatrix (Bild 0)</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Die Korrelationsmatrix zeigt Korrelationskoeffizienten zwischen verschiedenen biologischen und chemischen Variablen, wie Enzymen, Biomasse, BMK (biochemische Marker), Arginin, pH-Wert und Kohlenstoffgehalt.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Starke positive Korrelationen:</w:t>
      </w:r>
      <w:r>
        <w:rPr>
          <w:rFonts w:ascii="Rockwell" w:hAnsi="Rockwell" w:cs="Rockwell" w:eastAsia="Rockwell"/>
          <w:color w:val="ffffff"/>
          <w:sz w:val="23"/>
          <w:szCs w:val="23"/>
          <w:highlight w:val="darkMagenta"/>
        </w:rPr>
        <w:t xml:space="preserve">
</w:t>
      </w:r>
    </w:p>
    <w:p>
      <w:pPr>
        <w:numPr>
          <w:ilvl w:val="0"/>
          <w:numId w:val="15"/>
        </w:numPr>
        <w:spacing w:after="0" w:before="0" w:line="354" w:lineRule="auto"/>
        <w:jc w:val="start"/>
      </w:pPr>
      <w:r>
        <w:rPr>
          <w:rFonts w:ascii="Rockwell Bold" w:hAnsi="Rockwell Bold" w:cs="Rockwell Bold" w:eastAsia="Rockwell Bold"/>
          <w:b/>
          <w:bCs/>
          <w:color w:val="ffffff"/>
          <w:sz w:val="23"/>
          <w:szCs w:val="23"/>
          <w:highlight w:val="darkMagenta"/>
        </w:rPr>
        <w:t>ß-Glucosidase und Alk.Phos.</w:t>
      </w:r>
      <w:r>
        <w:rPr>
          <w:rFonts w:ascii="Rockwell" w:hAnsi="Rockwell" w:cs="Rockwell" w:eastAsia="Rockwell"/>
          <w:color w:val="ffffff"/>
          <w:sz w:val="23"/>
          <w:szCs w:val="23"/>
          <w:highlight w:val="darkMagenta"/>
        </w:rPr>
        <w:t>: 0.92*** (p &lt; 0.001)</w:t>
      </w:r>
      <w:r>
        <w:rPr>
          <w:rFonts w:ascii="Rockwell" w:hAnsi="Rockwell" w:cs="Rockwell" w:eastAsia="Rockwell"/>
          <w:color w:val="ffffff"/>
          <w:sz w:val="23"/>
          <w:szCs w:val="23"/>
          <w:highlight w:val="darkMagenta"/>
        </w:rPr>
        <w:t xml:space="preserve">
</w:t>
      </w:r>
    </w:p>
    <w:p>
      <w:pPr>
        <w:numPr>
          <w:ilvl w:val="0"/>
          <w:numId w:val="15"/>
        </w:numPr>
        <w:spacing w:after="0" w:before="0" w:line="354" w:lineRule="auto"/>
        <w:jc w:val="start"/>
      </w:pPr>
      <w:r>
        <w:rPr>
          <w:rFonts w:ascii="Rockwell Bold" w:hAnsi="Rockwell Bold" w:cs="Rockwell Bold" w:eastAsia="Rockwell Bold"/>
          <w:b/>
          <w:bCs/>
          <w:color w:val="ffffff"/>
          <w:sz w:val="23"/>
          <w:szCs w:val="23"/>
          <w:highlight w:val="darkMagenta"/>
        </w:rPr>
        <w:t>Biomasse und Alk.Phos.</w:t>
      </w:r>
      <w:r>
        <w:rPr>
          <w:rFonts w:ascii="Rockwell" w:hAnsi="Rockwell" w:cs="Rockwell" w:eastAsia="Rockwell"/>
          <w:color w:val="ffffff"/>
          <w:sz w:val="23"/>
          <w:szCs w:val="23"/>
          <w:highlight w:val="darkMagenta"/>
        </w:rPr>
        <w:t>: 0.92*** (p &lt; 0.001)</w:t>
      </w:r>
      <w:r>
        <w:rPr>
          <w:rFonts w:ascii="Rockwell" w:hAnsi="Rockwell" w:cs="Rockwell" w:eastAsia="Rockwell"/>
          <w:color w:val="ffffff"/>
          <w:sz w:val="23"/>
          <w:szCs w:val="23"/>
          <w:highlight w:val="darkMagenta"/>
        </w:rPr>
        <w:t xml:space="preserve">
</w:t>
      </w:r>
    </w:p>
    <w:p>
      <w:pPr>
        <w:numPr>
          <w:ilvl w:val="0"/>
          <w:numId w:val="15"/>
        </w:numPr>
        <w:spacing w:after="0" w:before="0" w:line="354" w:lineRule="auto"/>
        <w:jc w:val="start"/>
      </w:pPr>
      <w:r>
        <w:rPr>
          <w:rFonts w:ascii="Rockwell Bold" w:hAnsi="Rockwell Bold" w:cs="Rockwell Bold" w:eastAsia="Rockwell Bold"/>
          <w:b/>
          <w:bCs/>
          <w:color w:val="ffffff"/>
          <w:sz w:val="23"/>
          <w:szCs w:val="23"/>
          <w:highlight w:val="darkMagenta"/>
        </w:rPr>
        <w:t>Katalase und Dehydrogenase</w:t>
      </w:r>
      <w:r>
        <w:rPr>
          <w:rFonts w:ascii="Rockwell" w:hAnsi="Rockwell" w:cs="Rockwell" w:eastAsia="Rockwell"/>
          <w:color w:val="ffffff"/>
          <w:sz w:val="23"/>
          <w:szCs w:val="23"/>
          <w:highlight w:val="darkMagenta"/>
        </w:rPr>
        <w:t>: 0.98 (keine Signifikanzangabe)</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Negative Korrelationen:</w:t>
      </w:r>
      <w:r>
        <w:rPr>
          <w:rFonts w:ascii="Rockwell" w:hAnsi="Rockwell" w:cs="Rockwell" w:eastAsia="Rockwell"/>
          <w:color w:val="ffffff"/>
          <w:sz w:val="23"/>
          <w:szCs w:val="23"/>
          <w:highlight w:val="darkMagenta"/>
        </w:rPr>
        <w:t xml:space="preserve">
</w:t>
      </w:r>
    </w:p>
    <w:p>
      <w:pPr>
        <w:numPr>
          <w:ilvl w:val="0"/>
          <w:numId w:val="16"/>
        </w:numPr>
        <w:spacing w:after="0" w:before="0" w:line="354" w:lineRule="auto"/>
        <w:jc w:val="start"/>
      </w:pPr>
      <w:r>
        <w:rPr>
          <w:rFonts w:ascii="Rockwell Bold" w:hAnsi="Rockwell Bold" w:cs="Rockwell Bold" w:eastAsia="Rockwell Bold"/>
          <w:b/>
          <w:bCs/>
          <w:color w:val="ffffff"/>
          <w:sz w:val="23"/>
          <w:szCs w:val="23"/>
          <w:highlight w:val="darkMagenta"/>
        </w:rPr>
        <w:t>BMK und Katalase</w:t>
      </w:r>
      <w:r>
        <w:rPr>
          <w:rFonts w:ascii="Rockwell" w:hAnsi="Rockwell" w:cs="Rockwell" w:eastAsia="Rockwell"/>
          <w:color w:val="ffffff"/>
          <w:sz w:val="23"/>
          <w:szCs w:val="23"/>
          <w:highlight w:val="darkMagenta"/>
        </w:rPr>
        <w:t>: -0.34</w:t>
      </w:r>
      <w:r>
        <w:rPr>
          <w:rFonts w:ascii="Rockwell" w:hAnsi="Rockwell" w:cs="Rockwell" w:eastAsia="Rockwell"/>
          <w:color w:val="ffffff"/>
          <w:sz w:val="23"/>
          <w:szCs w:val="23"/>
          <w:highlight w:val="darkMagenta"/>
        </w:rPr>
        <w:t xml:space="preserve">
</w:t>
      </w:r>
    </w:p>
    <w:p>
      <w:pPr>
        <w:numPr>
          <w:ilvl w:val="0"/>
          <w:numId w:val="16"/>
        </w:numPr>
        <w:spacing w:after="0" w:before="0" w:line="354" w:lineRule="auto"/>
        <w:jc w:val="start"/>
      </w:pPr>
      <w:r>
        <w:rPr>
          <w:rFonts w:ascii="Rockwell Bold" w:hAnsi="Rockwell Bold" w:cs="Rockwell Bold" w:eastAsia="Rockwell Bold"/>
          <w:b/>
          <w:bCs/>
          <w:color w:val="ffffff"/>
          <w:sz w:val="23"/>
          <w:szCs w:val="23"/>
          <w:highlight w:val="darkMagenta"/>
        </w:rPr>
        <w:t>Arginin und Dehydrogenase</w:t>
      </w:r>
      <w:r>
        <w:rPr>
          <w:rFonts w:ascii="Rockwell" w:hAnsi="Rockwell" w:cs="Rockwell" w:eastAsia="Rockwell"/>
          <w:color w:val="ffffff"/>
          <w:sz w:val="23"/>
          <w:szCs w:val="23"/>
          <w:highlight w:val="darkMagenta"/>
        </w:rPr>
        <w:t>: -0.33</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Interpretation:</w:t>
      </w:r>
      <w:r>
        <w:rPr>
          <w:rFonts w:ascii="Rockwell" w:hAnsi="Rockwell" w:cs="Rockwell" w:eastAsia="Rockwell"/>
          <w:color w:val="ffffff"/>
          <w:sz w:val="23"/>
          <w:szCs w:val="23"/>
          <w:highlight w:val="darkMagenta"/>
        </w:rPr>
        <w:t xml:space="preserve">
</w:t>
      </w:r>
    </w:p>
    <w:p>
      <w:pPr>
        <w:numPr>
          <w:ilvl w:val="0"/>
          <w:numId w:val="17"/>
        </w:numPr>
        <w:spacing w:after="0" w:before="0" w:line="354" w:lineRule="auto"/>
        <w:jc w:val="start"/>
      </w:pPr>
      <w:r>
        <w:rPr>
          <w:rFonts w:ascii="Rockwell" w:hAnsi="Rockwell" w:cs="Rockwell" w:eastAsia="Rockwell"/>
          <w:color w:val="ffffff"/>
          <w:sz w:val="23"/>
          <w:szCs w:val="23"/>
          <w:highlight w:val="darkMagenta"/>
        </w:rPr>
        <w:t>Starke positive Korrelationen deuten auf gemeinsame biologische Prozesse hin, z. B. mikrobielle Aktivität, die sowohl Enzyme als auch Biomasse beeinflusst.</w:t>
      </w:r>
      <w:r>
        <w:rPr>
          <w:rFonts w:ascii="Rockwell" w:hAnsi="Rockwell" w:cs="Rockwell" w:eastAsia="Rockwell"/>
          <w:color w:val="ffffff"/>
          <w:sz w:val="23"/>
          <w:szCs w:val="23"/>
          <w:highlight w:val="darkMagenta"/>
        </w:rPr>
        <w:t xml:space="preserve">
</w:t>
      </w:r>
    </w:p>
    <w:p>
      <w:pPr>
        <w:numPr>
          <w:ilvl w:val="0"/>
          <w:numId w:val="17"/>
        </w:numPr>
        <w:spacing w:after="0" w:before="0" w:line="354" w:lineRule="auto"/>
        <w:jc w:val="start"/>
      </w:pPr>
      <w:r>
        <w:rPr>
          <w:rFonts w:ascii="Rockwell" w:hAnsi="Rockwell" w:cs="Rockwell" w:eastAsia="Rockwell"/>
          <w:color w:val="ffffff"/>
          <w:sz w:val="23"/>
          <w:szCs w:val="23"/>
          <w:highlight w:val="darkMagenta"/>
        </w:rPr>
        <w:t>Negative Korrelationen könnten auf antagonistische Prozesse oder unterschiedliche Bedingungen hinweisen, die bestimmte Variablen beeinflussen.</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2. Analyse der Zufallsmatrix (Bild 1)</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Die Zufallsmatrix ist eine 25×25-Matrix mit zufälligen ganzzahligen Werten von 0 bis 74, wobei viele Zellen Nullen enthalten.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Struktur:</w:t>
      </w:r>
      <w:r>
        <w:rPr>
          <w:rFonts w:ascii="Rockwell" w:hAnsi="Rockwell" w:cs="Rockwell" w:eastAsia="Rockwell"/>
          <w:color w:val="ffffff"/>
          <w:sz w:val="23"/>
          <w:szCs w:val="23"/>
          <w:highlight w:val="darkMagenta"/>
        </w:rPr>
        <w:t xml:space="preserve">
</w:t>
      </w:r>
    </w:p>
    <w:p>
      <w:pPr>
        <w:numPr>
          <w:ilvl w:val="0"/>
          <w:numId w:val="18"/>
        </w:numPr>
        <w:spacing w:after="0" w:before="0" w:line="354" w:lineRule="auto"/>
        <w:jc w:val="start"/>
      </w:pPr>
      <w:r>
        <w:rPr>
          <w:rFonts w:ascii="Rockwell" w:hAnsi="Rockwell" w:cs="Rockwell" w:eastAsia="Rockwell"/>
          <w:color w:val="ffffff"/>
          <w:sz w:val="23"/>
          <w:szCs w:val="23"/>
          <w:highlight w:val="darkMagenta"/>
        </w:rPr>
        <w:t>Überwiegend Nullen, insbesondere in den späteren Zeilen und Spalten.</w:t>
      </w:r>
      <w:r>
        <w:rPr>
          <w:rFonts w:ascii="Rockwell" w:hAnsi="Rockwell" w:cs="Rockwell" w:eastAsia="Rockwell"/>
          <w:color w:val="ffffff"/>
          <w:sz w:val="23"/>
          <w:szCs w:val="23"/>
          <w:highlight w:val="darkMagenta"/>
        </w:rPr>
        <w:t xml:space="preserve">
</w:t>
      </w:r>
    </w:p>
    <w:p>
      <w:pPr>
        <w:numPr>
          <w:ilvl w:val="0"/>
          <w:numId w:val="18"/>
        </w:numPr>
        <w:spacing w:after="0" w:before="0" w:line="354" w:lineRule="auto"/>
        <w:jc w:val="start"/>
      </w:pPr>
      <w:r>
        <w:rPr>
          <w:rFonts w:ascii="Rockwell" w:hAnsi="Rockwell" w:cs="Rockwell" w:eastAsia="Rockwell"/>
          <w:color w:val="ffffff"/>
          <w:sz w:val="23"/>
          <w:szCs w:val="23"/>
          <w:highlight w:val="darkMagenta"/>
        </w:rPr>
        <w:t>Nicht-Null-Werte konzentrieren sich in den ersten Zeilen und Spalten.</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Interpretation:</w:t>
      </w:r>
      <w:r>
        <w:rPr>
          <w:rFonts w:ascii="Rockwell" w:hAnsi="Rockwell" w:cs="Rockwell" w:eastAsia="Rockwell"/>
          <w:color w:val="ffffff"/>
          <w:sz w:val="23"/>
          <w:szCs w:val="23"/>
          <w:highlight w:val="darkMagenta"/>
        </w:rPr>
        <w:t xml:space="preserve">
</w:t>
      </w:r>
    </w:p>
    <w:p>
      <w:pPr>
        <w:numPr>
          <w:ilvl w:val="0"/>
          <w:numId w:val="19"/>
        </w:numPr>
        <w:spacing w:after="0" w:before="0" w:line="354" w:lineRule="auto"/>
        <w:jc w:val="start"/>
      </w:pPr>
      <w:r>
        <w:rPr>
          <w:rFonts w:ascii="Rockwell" w:hAnsi="Rockwell" w:cs="Rockwell" w:eastAsia="Rockwell"/>
          <w:color w:val="ffffff"/>
          <w:sz w:val="23"/>
          <w:szCs w:val="23"/>
          <w:highlight w:val="darkMagenta"/>
        </w:rPr>
        <w:t>Die Matrix könnte simulierte Daten darstellen, die Interaktionen oder Korrelationen zwischen Variablen oder Zeitpunkten modellieren.</w:t>
      </w:r>
      <w:r>
        <w:rPr>
          <w:rFonts w:ascii="Rockwell" w:hAnsi="Rockwell" w:cs="Rockwell" w:eastAsia="Rockwell"/>
          <w:color w:val="ffffff"/>
          <w:sz w:val="23"/>
          <w:szCs w:val="23"/>
          <w:highlight w:val="darkMagenta"/>
        </w:rPr>
        <w:t xml:space="preserve">
</w:t>
      </w:r>
    </w:p>
    <w:p>
      <w:pPr>
        <w:numPr>
          <w:ilvl w:val="0"/>
          <w:numId w:val="19"/>
        </w:numPr>
        <w:spacing w:after="0" w:before="0" w:line="354" w:lineRule="auto"/>
        <w:jc w:val="start"/>
      </w:pPr>
      <w:r>
        <w:rPr>
          <w:rFonts w:ascii="Rockwell" w:hAnsi="Rockwell" w:cs="Rockwell" w:eastAsia="Rockwell"/>
          <w:color w:val="ffffff"/>
          <w:sz w:val="23"/>
          <w:szCs w:val="23"/>
          <w:highlight w:val="darkMagenta"/>
        </w:rPr>
        <w:t>Die Konzentration von Nicht-Null-Werten in den frühen Zeilen und Spalten könnte auf wichtige anfängliche Bedingungen oder Ereignisse hinweisen.</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3. Analyse der Kompostierungsdiagramme (Bild 2 und Bild 4)</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Umsetzungsvorgänge bei der Kompostierung (Bild 2):</w:t>
      </w:r>
      <w:r>
        <w:rPr>
          <w:rFonts w:ascii="Rockwell" w:hAnsi="Rockwell" w:cs="Rockwell" w:eastAsia="Rockwell"/>
          <w:color w:val="ffffff"/>
          <w:sz w:val="23"/>
          <w:szCs w:val="23"/>
          <w:highlight w:val="darkMagenta"/>
        </w:rPr>
        <w:t xml:space="preserve">
</w:t>
      </w:r>
    </w:p>
    <w:p>
      <w:pPr>
        <w:numPr>
          <w:ilvl w:val="0"/>
          <w:numId w:val="20"/>
        </w:numPr>
        <w:spacing w:after="0" w:before="0" w:line="354" w:lineRule="auto"/>
        <w:jc w:val="start"/>
      </w:pPr>
      <w:r>
        <w:rPr>
          <w:rFonts w:ascii="Rockwell" w:hAnsi="Rockwell" w:cs="Rockwell" w:eastAsia="Rockwell"/>
          <w:color w:val="ffffff"/>
          <w:sz w:val="23"/>
          <w:szCs w:val="23"/>
          <w:highlight w:val="darkMagenta"/>
        </w:rPr>
        <w:t>Zeigt den Prozess der Kompostierung, einschließlich physikalischer, chemischer und biologischer Faktoren.</w:t>
      </w:r>
      <w:r>
        <w:rPr>
          <w:rFonts w:ascii="Rockwell" w:hAnsi="Rockwell" w:cs="Rockwell" w:eastAsia="Rockwell"/>
          <w:color w:val="ffffff"/>
          <w:sz w:val="23"/>
          <w:szCs w:val="23"/>
          <w:highlight w:val="darkMagenta"/>
        </w:rPr>
        <w:t xml:space="preserve">
</w:t>
      </w:r>
    </w:p>
    <w:p>
      <w:pPr>
        <w:numPr>
          <w:ilvl w:val="0"/>
          <w:numId w:val="20"/>
        </w:numPr>
        <w:spacing w:after="0" w:before="0" w:line="354" w:lineRule="auto"/>
        <w:jc w:val="start"/>
      </w:pPr>
      <w:r>
        <w:rPr>
          <w:rFonts w:ascii="Rockwell" w:hAnsi="Rockwell" w:cs="Rockwell" w:eastAsia="Rockwell"/>
          <w:color w:val="ffffff"/>
          <w:sz w:val="23"/>
          <w:szCs w:val="23"/>
          <w:highlight w:val="darkMagenta"/>
        </w:rPr>
        <w:t>Mikroorganismen spielen eine zentrale Rolle bei der Umwandlung von Stickstoff und Kohlenstoff.</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Temperaturverlauf der Kompostierung (Bild 4):</w:t>
      </w:r>
      <w:r>
        <w:rPr>
          <w:rFonts w:ascii="Rockwell" w:hAnsi="Rockwell" w:cs="Rockwell" w:eastAsia="Rockwell"/>
          <w:color w:val="ffffff"/>
          <w:sz w:val="23"/>
          <w:szCs w:val="23"/>
          <w:highlight w:val="darkMagenta"/>
        </w:rPr>
        <w:t xml:space="preserve">
</w:t>
      </w:r>
    </w:p>
    <w:p>
      <w:pPr>
        <w:numPr>
          <w:ilvl w:val="0"/>
          <w:numId w:val="21"/>
        </w:numPr>
        <w:spacing w:after="0" w:before="0" w:line="354" w:lineRule="auto"/>
        <w:jc w:val="start"/>
      </w:pPr>
      <w:r>
        <w:rPr>
          <w:rFonts w:ascii="Rockwell" w:hAnsi="Rockwell" w:cs="Rockwell" w:eastAsia="Rockwell"/>
          <w:color w:val="ffffff"/>
          <w:sz w:val="23"/>
          <w:szCs w:val="23"/>
          <w:highlight w:val="darkMagenta"/>
        </w:rPr>
        <w:t>Zeigt die typischen Phasen der Kompostierung:</w:t>
      </w:r>
      <w:r>
        <w:rPr>
          <w:rFonts w:ascii="Rockwell" w:hAnsi="Rockwell" w:cs="Rockwell" w:eastAsia="Rockwell"/>
          <w:color w:val="ffffff"/>
          <w:sz w:val="23"/>
          <w:szCs w:val="23"/>
          <w:highlight w:val="darkMagenta"/>
        </w:rPr>
        <w:t xml:space="preserve">
</w:t>
      </w:r>
    </w:p>
    <w:p>
      <w:pPr>
        <w:numPr>
          <w:ilvl w:val="1"/>
          <w:numId w:val="22"/>
        </w:numPr>
        <w:spacing w:after="0" w:before="0" w:line="354" w:lineRule="auto"/>
        <w:jc w:val="start"/>
      </w:pPr>
      <w:r>
        <w:rPr>
          <w:rFonts w:ascii="Rockwell Bold" w:hAnsi="Rockwell Bold" w:cs="Rockwell Bold" w:eastAsia="Rockwell Bold"/>
          <w:b/>
          <w:bCs/>
          <w:color w:val="ffffff"/>
          <w:sz w:val="23"/>
          <w:szCs w:val="23"/>
          <w:highlight w:val="darkMagenta"/>
        </w:rPr>
        <w:t>Mesophile Phase (A)</w:t>
      </w:r>
      <w:r>
        <w:rPr>
          <w:rFonts w:ascii="Rockwell" w:hAnsi="Rockwell" w:cs="Rockwell" w:eastAsia="Rockwell"/>
          <w:color w:val="ffffff"/>
          <w:sz w:val="23"/>
          <w:szCs w:val="23"/>
          <w:highlight w:val="darkMagenta"/>
        </w:rPr>
        <w:t>: 20–30°C, mesophile Mikroorganismen aktiv.</w:t>
      </w:r>
      <w:r>
        <w:rPr>
          <w:rFonts w:ascii="Rockwell" w:hAnsi="Rockwell" w:cs="Rockwell" w:eastAsia="Rockwell"/>
          <w:color w:val="ffffff"/>
          <w:sz w:val="23"/>
          <w:szCs w:val="23"/>
          <w:highlight w:val="darkMagenta"/>
        </w:rPr>
        <w:t xml:space="preserve">
</w:t>
      </w:r>
    </w:p>
    <w:p>
      <w:pPr>
        <w:numPr>
          <w:ilvl w:val="1"/>
          <w:numId w:val="22"/>
        </w:numPr>
        <w:spacing w:after="0" w:before="0" w:line="354" w:lineRule="auto"/>
        <w:jc w:val="start"/>
      </w:pPr>
      <w:r>
        <w:rPr>
          <w:rFonts w:ascii="Rockwell Bold" w:hAnsi="Rockwell Bold" w:cs="Rockwell Bold" w:eastAsia="Rockwell Bold"/>
          <w:b/>
          <w:bCs/>
          <w:color w:val="ffffff"/>
          <w:sz w:val="23"/>
          <w:szCs w:val="23"/>
          <w:highlight w:val="darkMagenta"/>
        </w:rPr>
        <w:t>Thermophile Phase (B, B‘)</w:t>
      </w:r>
      <w:r>
        <w:rPr>
          <w:rFonts w:ascii="Rockwell" w:hAnsi="Rockwell" w:cs="Rockwell" w:eastAsia="Rockwell"/>
          <w:color w:val="ffffff"/>
          <w:sz w:val="23"/>
          <w:szCs w:val="23"/>
          <w:highlight w:val="darkMagenta"/>
        </w:rPr>
        <w:t>: Temperatur steigt auf 60–70°C, Aktivität von sporenbildenden Bakterien und Actinomyceten.</w:t>
      </w:r>
      <w:r>
        <w:rPr>
          <w:rFonts w:ascii="Rockwell" w:hAnsi="Rockwell" w:cs="Rockwell" w:eastAsia="Rockwell"/>
          <w:color w:val="ffffff"/>
          <w:sz w:val="23"/>
          <w:szCs w:val="23"/>
          <w:highlight w:val="darkMagenta"/>
        </w:rPr>
        <w:t xml:space="preserve">
</w:t>
      </w:r>
    </w:p>
    <w:p>
      <w:pPr>
        <w:numPr>
          <w:ilvl w:val="1"/>
          <w:numId w:val="22"/>
        </w:numPr>
        <w:spacing w:after="0" w:before="0" w:line="354" w:lineRule="auto"/>
        <w:jc w:val="start"/>
      </w:pPr>
      <w:r>
        <w:rPr>
          <w:rFonts w:ascii="Rockwell Bold" w:hAnsi="Rockwell Bold" w:cs="Rockwell Bold" w:eastAsia="Rockwell Bold"/>
          <w:b/>
          <w:bCs/>
          <w:color w:val="ffffff"/>
          <w:sz w:val="23"/>
          <w:szCs w:val="23"/>
          <w:highlight w:val="darkMagenta"/>
        </w:rPr>
        <w:t>Hochtemperaturphase (C)</w:t>
      </w:r>
      <w:r>
        <w:rPr>
          <w:rFonts w:ascii="Rockwell" w:hAnsi="Rockwell" w:cs="Rockwell" w:eastAsia="Rockwell"/>
          <w:color w:val="ffffff"/>
          <w:sz w:val="23"/>
          <w:szCs w:val="23"/>
          <w:highlight w:val="darkMagenta"/>
        </w:rPr>
        <w:t>: Maximum bei ~70°C.</w:t>
      </w:r>
      <w:r>
        <w:rPr>
          <w:rFonts w:ascii="Rockwell" w:hAnsi="Rockwell" w:cs="Rockwell" w:eastAsia="Rockwell"/>
          <w:color w:val="ffffff"/>
          <w:sz w:val="23"/>
          <w:szCs w:val="23"/>
          <w:highlight w:val="darkMagenta"/>
        </w:rPr>
        <w:t xml:space="preserve">
</w:t>
      </w:r>
    </w:p>
    <w:p>
      <w:pPr>
        <w:numPr>
          <w:ilvl w:val="1"/>
          <w:numId w:val="22"/>
        </w:numPr>
        <w:spacing w:after="0" w:before="0" w:line="354" w:lineRule="auto"/>
        <w:jc w:val="start"/>
      </w:pPr>
      <w:r>
        <w:rPr>
          <w:rFonts w:ascii="Rockwell Bold" w:hAnsi="Rockwell Bold" w:cs="Rockwell Bold" w:eastAsia="Rockwell Bold"/>
          <w:b/>
          <w:bCs/>
          <w:color w:val="ffffff"/>
          <w:sz w:val="23"/>
          <w:szCs w:val="23"/>
          <w:highlight w:val="darkMagenta"/>
        </w:rPr>
        <w:t>Abkühlungsphase (D)</w:t>
      </w:r>
      <w:r>
        <w:rPr>
          <w:rFonts w:ascii="Rockwell" w:hAnsi="Rockwell" w:cs="Rockwell" w:eastAsia="Rockwell"/>
          <w:color w:val="ffffff"/>
          <w:sz w:val="23"/>
          <w:szCs w:val="23"/>
          <w:highlight w:val="darkMagenta"/>
        </w:rPr>
        <w:t>: Temperatur sinkt, Abbau von Polymeren.</w:t>
      </w:r>
      <w:r>
        <w:rPr>
          <w:rFonts w:ascii="Rockwell" w:hAnsi="Rockwell" w:cs="Rockwell" w:eastAsia="Rockwell"/>
          <w:color w:val="ffffff"/>
          <w:sz w:val="23"/>
          <w:szCs w:val="23"/>
          <w:highlight w:val="darkMagenta"/>
        </w:rPr>
        <w:t xml:space="preserve">
</w:t>
      </w:r>
    </w:p>
    <w:p>
      <w:pPr>
        <w:numPr>
          <w:ilvl w:val="1"/>
          <w:numId w:val="22"/>
        </w:numPr>
        <w:spacing w:after="0" w:before="0" w:line="354" w:lineRule="auto"/>
        <w:jc w:val="start"/>
      </w:pPr>
      <w:r>
        <w:rPr>
          <w:rFonts w:ascii="Rockwell Bold" w:hAnsi="Rockwell Bold" w:cs="Rockwell Bold" w:eastAsia="Rockwell Bold"/>
          <w:b/>
          <w:bCs/>
          <w:color w:val="ffffff"/>
          <w:sz w:val="23"/>
          <w:szCs w:val="23"/>
          <w:highlight w:val="darkMagenta"/>
        </w:rPr>
        <w:t>Reifephase (E)</w:t>
      </w:r>
      <w:r>
        <w:rPr>
          <w:rFonts w:ascii="Rockwell" w:hAnsi="Rockwell" w:cs="Rockwell" w:eastAsia="Rockwell"/>
          <w:color w:val="ffffff"/>
          <w:sz w:val="23"/>
          <w:szCs w:val="23"/>
          <w:highlight w:val="darkMagenta"/>
        </w:rPr>
        <w:t>: Stabilisierung bei 10–20°C, Aktivität von mesophiler Flora und Fauna.</w:t>
      </w:r>
      <w:r>
        <w:rPr>
          <w:rFonts w:ascii="Rockwell" w:hAnsi="Rockwell" w:cs="Rockwell" w:eastAsia="Rockwell"/>
          <w:color w:val="ffffff"/>
          <w:sz w:val="23"/>
          <w:szCs w:val="23"/>
          <w:highlight w:val="darkMagenta"/>
        </w:rPr>
        <w:t xml:space="preserve">
</w:t>
      </w:r>
    </w:p>
    <w:p>
      <w:pPr>
        <w:numPr>
          <w:ilvl w:val="0"/>
          <w:numId w:val="23"/>
        </w:numPr>
        <w:spacing w:after="0" w:before="0" w:line="354" w:lineRule="auto"/>
        <w:jc w:val="start"/>
      </w:pPr>
      <w:r>
        <w:rPr>
          <w:rFonts w:ascii="Rockwell" w:hAnsi="Rockwell" w:cs="Rockwell" w:eastAsia="Rockwell"/>
          <w:color w:val="ffffff"/>
          <w:sz w:val="23"/>
          <w:szCs w:val="23"/>
          <w:highlight w:val="darkMagenta"/>
        </w:rPr>
        <w:t>Die Temperatur steigt auf bis zu 70°C und fällt dann wieder ab, was auf die Aktivität von Mikroorganismen hinweist.</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Interpretation:</w:t>
      </w:r>
      <w:r>
        <w:rPr>
          <w:rFonts w:ascii="Rockwell" w:hAnsi="Rockwell" w:cs="Rockwell" w:eastAsia="Rockwell"/>
          <w:color w:val="ffffff"/>
          <w:sz w:val="23"/>
          <w:szCs w:val="23"/>
          <w:highlight w:val="darkMagenta"/>
        </w:rPr>
        <w:t xml:space="preserve">
</w:t>
      </w:r>
    </w:p>
    <w:p>
      <w:pPr>
        <w:numPr>
          <w:ilvl w:val="0"/>
          <w:numId w:val="24"/>
        </w:numPr>
        <w:spacing w:after="0" w:before="0" w:line="354" w:lineRule="auto"/>
        <w:jc w:val="start"/>
      </w:pPr>
      <w:r>
        <w:rPr>
          <w:rFonts w:ascii="Rockwell" w:hAnsi="Rockwell" w:cs="Rockwell" w:eastAsia="Rockwell"/>
          <w:color w:val="ffffff"/>
          <w:sz w:val="23"/>
          <w:szCs w:val="23"/>
          <w:highlight w:val="darkMagenta"/>
        </w:rPr>
        <w:t>Die Kompostierung beeinflusst die Qualität des Komposts und damit die Bodenqualität und Pflanzenparameter.</w:t>
      </w:r>
      <w:r>
        <w:rPr>
          <w:rFonts w:ascii="Rockwell" w:hAnsi="Rockwell" w:cs="Rockwell" w:eastAsia="Rockwell"/>
          <w:color w:val="ffffff"/>
          <w:sz w:val="23"/>
          <w:szCs w:val="23"/>
          <w:highlight w:val="darkMagenta"/>
        </w:rPr>
        <w:t xml:space="preserve">
</w:t>
      </w:r>
    </w:p>
    <w:p>
      <w:pPr>
        <w:numPr>
          <w:ilvl w:val="0"/>
          <w:numId w:val="24"/>
        </w:numPr>
        <w:spacing w:after="0" w:before="0" w:line="354" w:lineRule="auto"/>
        <w:jc w:val="start"/>
      </w:pPr>
      <w:r>
        <w:rPr>
          <w:rFonts w:ascii="Rockwell" w:hAnsi="Rockwell" w:cs="Rockwell" w:eastAsia="Rockwell"/>
          <w:color w:val="ffffff"/>
          <w:sz w:val="23"/>
          <w:szCs w:val="23"/>
          <w:highlight w:val="darkMagenta"/>
        </w:rPr>
        <w:t>Die Phasen der Kompostierung können die Nährstoffverfügbarkeit und mikrobielle Aktivität beeinflussen, was sich auf den Ertrag auswirkt.</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4. Analyse der Ertragsdaten der Tomaten (Bild 3)</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Die Ertragsdaten der Tomaten (in kg/Beet, Frischmasse) zeigen:
</w:t>
      </w:r>
    </w:p>
    <w:p>
      <w:pPr>
        <w:numPr>
          <w:ilvl w:val="0"/>
          <w:numId w:val="25"/>
        </w:numPr>
        <w:spacing w:after="0" w:before="0" w:line="354" w:lineRule="auto"/>
        <w:jc w:val="start"/>
      </w:pPr>
      <w:r>
        <w:rPr>
          <w:rFonts w:ascii="Rockwell Bold" w:hAnsi="Rockwell Bold" w:cs="Rockwell Bold" w:eastAsia="Rockwell Bold"/>
          <w:b/>
          <w:bCs/>
          <w:color w:val="ffffff"/>
          <w:sz w:val="23"/>
          <w:szCs w:val="23"/>
          <w:highlight w:val="darkMagenta"/>
        </w:rPr>
        <w:t>Ohne Präparate</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1"/>
          <w:numId w:val="25"/>
        </w:numPr>
        <w:spacing w:after="0" w:before="0" w:line="354" w:lineRule="auto"/>
        <w:jc w:val="start"/>
      </w:pPr>
      <w:r>
        <w:rPr>
          <w:rFonts w:ascii="Rockwell" w:hAnsi="Rockwell" w:cs="Rockwell" w:eastAsia="Rockwell"/>
          <w:color w:val="ffffff"/>
          <w:sz w:val="23"/>
          <w:szCs w:val="23"/>
          <w:highlight w:val="darkMagenta"/>
        </w:rPr>
        <w:t>Kompost: 36,709 kg/Beet</w:t>
      </w:r>
      <w:r>
        <w:rPr>
          <w:rFonts w:ascii="Rockwell" w:hAnsi="Rockwell" w:cs="Rockwell" w:eastAsia="Rockwell"/>
          <w:color w:val="ffffff"/>
          <w:sz w:val="23"/>
          <w:szCs w:val="23"/>
          <w:highlight w:val="darkMagenta"/>
        </w:rPr>
        <w:t xml:space="preserve">
</w:t>
      </w:r>
    </w:p>
    <w:p>
      <w:pPr>
        <w:numPr>
          <w:ilvl w:val="1"/>
          <w:numId w:val="25"/>
        </w:numPr>
        <w:spacing w:after="0" w:before="0" w:line="354" w:lineRule="auto"/>
        <w:jc w:val="start"/>
      </w:pPr>
      <w:r>
        <w:rPr>
          <w:rFonts w:ascii="Rockwell" w:hAnsi="Rockwell" w:cs="Rockwell" w:eastAsia="Rockwell"/>
          <w:color w:val="ffffff"/>
          <w:sz w:val="23"/>
          <w:szCs w:val="23"/>
          <w:highlight w:val="darkMagenta"/>
        </w:rPr>
        <w:t>Mist: 33,658 kg/Beet</w:t>
      </w:r>
      <w:r>
        <w:rPr>
          <w:rFonts w:ascii="Rockwell" w:hAnsi="Rockwell" w:cs="Rockwell" w:eastAsia="Rockwell"/>
          <w:color w:val="ffffff"/>
          <w:sz w:val="23"/>
          <w:szCs w:val="23"/>
          <w:highlight w:val="darkMagenta"/>
        </w:rPr>
        <w:t xml:space="preserve">
</w:t>
      </w:r>
    </w:p>
    <w:p>
      <w:pPr>
        <w:numPr>
          <w:ilvl w:val="0"/>
          <w:numId w:val="25"/>
        </w:numPr>
        <w:spacing w:after="0" w:before="0" w:line="354" w:lineRule="auto"/>
        <w:jc w:val="start"/>
      </w:pPr>
      <w:r>
        <w:rPr>
          <w:rFonts w:ascii="Rockwell Bold" w:hAnsi="Rockwell Bold" w:cs="Rockwell Bold" w:eastAsia="Rockwell Bold"/>
          <w:b/>
          <w:bCs/>
          <w:color w:val="ffffff"/>
          <w:sz w:val="23"/>
          <w:szCs w:val="23"/>
          <w:highlight w:val="darkMagenta"/>
        </w:rPr>
        <w:t>Mit Präparate</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1"/>
          <w:numId w:val="25"/>
        </w:numPr>
        <w:spacing w:after="0" w:before="0" w:line="354" w:lineRule="auto"/>
        <w:jc w:val="start"/>
      </w:pPr>
      <w:r>
        <w:rPr>
          <w:rFonts w:ascii="Rockwell" w:hAnsi="Rockwell" w:cs="Rockwell" w:eastAsia="Rockwell"/>
          <w:color w:val="ffffff"/>
          <w:sz w:val="23"/>
          <w:szCs w:val="23"/>
          <w:highlight w:val="darkMagenta"/>
        </w:rPr>
        <w:t>Kompost: 36,159 kg/Beet</w:t>
      </w:r>
      <w:r>
        <w:rPr>
          <w:rFonts w:ascii="Rockwell" w:hAnsi="Rockwell" w:cs="Rockwell" w:eastAsia="Rockwell"/>
          <w:color w:val="ffffff"/>
          <w:sz w:val="23"/>
          <w:szCs w:val="23"/>
          <w:highlight w:val="darkMagenta"/>
        </w:rPr>
        <w:t xml:space="preserve">
</w:t>
      </w:r>
    </w:p>
    <w:p>
      <w:pPr>
        <w:numPr>
          <w:ilvl w:val="1"/>
          <w:numId w:val="25"/>
        </w:numPr>
        <w:spacing w:after="0" w:before="0" w:line="354" w:lineRule="auto"/>
        <w:jc w:val="start"/>
      </w:pPr>
      <w:r>
        <w:rPr>
          <w:rFonts w:ascii="Rockwell" w:hAnsi="Rockwell" w:cs="Rockwell" w:eastAsia="Rockwell"/>
          <w:color w:val="ffffff"/>
          <w:sz w:val="23"/>
          <w:szCs w:val="23"/>
          <w:highlight w:val="darkMagenta"/>
        </w:rPr>
        <w:t>Mist: 41,006 kg/Beet</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Interpretation:</w:t>
      </w:r>
      <w:r>
        <w:rPr>
          <w:rFonts w:ascii="Rockwell" w:hAnsi="Rockwell" w:cs="Rockwell" w:eastAsia="Rockwell"/>
          <w:color w:val="ffffff"/>
          <w:sz w:val="23"/>
          <w:szCs w:val="23"/>
          <w:highlight w:val="darkMagenta"/>
        </w:rPr>
        <w:t xml:space="preserve">
</w:t>
      </w:r>
    </w:p>
    <w:p>
      <w:pPr>
        <w:numPr>
          <w:ilvl w:val="0"/>
          <w:numId w:val="26"/>
        </w:numPr>
        <w:spacing w:after="0" w:before="0" w:line="354" w:lineRule="auto"/>
        <w:jc w:val="start"/>
      </w:pPr>
      <w:r>
        <w:rPr>
          <w:rFonts w:ascii="Rockwell" w:hAnsi="Rockwell" w:cs="Rockwell" w:eastAsia="Rockwell"/>
          <w:color w:val="ffffff"/>
          <w:sz w:val="23"/>
          <w:szCs w:val="23"/>
          <w:highlight w:val="darkMagenta"/>
        </w:rPr>
        <w:t>Bei Kompost ist der Ertrag mit und ohne Präparate ähnlich.</w:t>
      </w:r>
      <w:r>
        <w:rPr>
          <w:rFonts w:ascii="Rockwell" w:hAnsi="Rockwell" w:cs="Rockwell" w:eastAsia="Rockwell"/>
          <w:color w:val="ffffff"/>
          <w:sz w:val="23"/>
          <w:szCs w:val="23"/>
          <w:highlight w:val="darkMagenta"/>
        </w:rPr>
        <w:t xml:space="preserve">
</w:t>
      </w:r>
    </w:p>
    <w:p>
      <w:pPr>
        <w:numPr>
          <w:ilvl w:val="0"/>
          <w:numId w:val="26"/>
        </w:numPr>
        <w:spacing w:after="0" w:before="0" w:line="354" w:lineRule="auto"/>
        <w:jc w:val="start"/>
      </w:pPr>
      <w:r>
        <w:rPr>
          <w:rFonts w:ascii="Rockwell" w:hAnsi="Rockwell" w:cs="Rockwell" w:eastAsia="Rockwell"/>
          <w:color w:val="ffffff"/>
          <w:sz w:val="23"/>
          <w:szCs w:val="23"/>
          <w:highlight w:val="darkMagenta"/>
        </w:rPr>
        <w:t>Bei Mist ist der Ertrag mit Präparaten deutlich höher als ohne Präparate.</w:t>
      </w:r>
      <w:r>
        <w:rPr>
          <w:rFonts w:ascii="Rockwell" w:hAnsi="Rockwell" w:cs="Rockwell" w:eastAsia="Rockwell"/>
          <w:color w:val="ffffff"/>
          <w:sz w:val="23"/>
          <w:szCs w:val="23"/>
          <w:highlight w:val="darkMagenta"/>
        </w:rPr>
        <w:t xml:space="preserve">
</w:t>
      </w:r>
    </w:p>
    <w:p>
      <w:pPr>
        <w:numPr>
          <w:ilvl w:val="0"/>
          <w:numId w:val="26"/>
        </w:numPr>
        <w:spacing w:after="0" w:before="0" w:line="354" w:lineRule="auto"/>
        <w:jc w:val="start"/>
      </w:pPr>
      <w:r>
        <w:rPr>
          <w:rFonts w:ascii="Rockwell" w:hAnsi="Rockwell" w:cs="Rockwell" w:eastAsia="Rockwell"/>
          <w:color w:val="ffffff"/>
          <w:sz w:val="23"/>
          <w:szCs w:val="23"/>
          <w:highlight w:val="darkMagenta"/>
        </w:rPr>
        <w:t>Dies deutet darauf hin, dass Präparate bei Verwendung von Mist den Ertrag steigern, möglicherweise durch Aktivierung von Nährstoffen oder Mikroorganismen.</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5. Analyse der Pflanzenparameter (Bild 5)</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Die Tabelle zu Pflanzenparametern ist in drei Blöcke (I, II, III) unterteilt, entsprechend den drei Wiederholungen. Jeder Block enthält vier Reihen (1-4, 5-8, 9-12), die verschiedenen Behandlungen entsprechen.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Struktur:</w:t>
      </w:r>
      <w:r>
        <w:rPr>
          <w:rFonts w:ascii="Rockwell" w:hAnsi="Rockwell" w:cs="Rockwell" w:eastAsia="Rockwell"/>
          <w:color w:val="ffffff"/>
          <w:sz w:val="23"/>
          <w:szCs w:val="23"/>
          <w:highlight w:val="darkMagenta"/>
        </w:rPr>
        <w:t xml:space="preserve">
</w:t>
      </w:r>
    </w:p>
    <w:p>
      <w:pPr>
        <w:numPr>
          <w:ilvl w:val="0"/>
          <w:numId w:val="27"/>
        </w:numPr>
        <w:spacing w:after="0" w:before="0" w:line="354" w:lineRule="auto"/>
        <w:jc w:val="start"/>
      </w:pPr>
      <w:r>
        <w:rPr>
          <w:rFonts w:ascii="Rockwell" w:hAnsi="Rockwell" w:cs="Rockwell" w:eastAsia="Rockwell"/>
          <w:color w:val="ffffff"/>
          <w:sz w:val="23"/>
          <w:szCs w:val="23"/>
          <w:highlight w:val="darkMagenta"/>
        </w:rPr>
        <w:t>Spalten: „Mit Kompost / Mist“, „Mit Präparate“, „Ohne Präparate“</w:t>
      </w:r>
      <w:r>
        <w:rPr>
          <w:rFonts w:ascii="Rockwell" w:hAnsi="Rockwell" w:cs="Rockwell" w:eastAsia="Rockwell"/>
          <w:color w:val="ffffff"/>
          <w:sz w:val="23"/>
          <w:szCs w:val="23"/>
          <w:highlight w:val="darkMagenta"/>
        </w:rPr>
        <w:t xml:space="preserve">
</w:t>
      </w:r>
    </w:p>
    <w:p>
      <w:pPr>
        <w:numPr>
          <w:ilvl w:val="0"/>
          <w:numId w:val="27"/>
        </w:numPr>
        <w:spacing w:after="0" w:before="0" w:line="354" w:lineRule="auto"/>
        <w:jc w:val="start"/>
      </w:pPr>
      <w:r>
        <w:rPr>
          <w:rFonts w:ascii="Rockwell" w:hAnsi="Rockwell" w:cs="Rockwell" w:eastAsia="Rockwell"/>
          <w:color w:val="ffffff"/>
          <w:sz w:val="23"/>
          <w:szCs w:val="23"/>
          <w:highlight w:val="darkMagenta"/>
        </w:rPr>
        <w:t>Werte im Format „x.x – y.y“, möglicherweise Messungen wie Pflanzenhöhe oder Biomasse.</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Interpretation:</w:t>
      </w:r>
      <w:r>
        <w:rPr>
          <w:rFonts w:ascii="Rockwell" w:hAnsi="Rockwell" w:cs="Rockwell" w:eastAsia="Rockwell"/>
          <w:color w:val="ffffff"/>
          <w:sz w:val="23"/>
          <w:szCs w:val="23"/>
          <w:highlight w:val="darkMagenta"/>
        </w:rPr>
        <w:t xml:space="preserve">
</w:t>
      </w:r>
    </w:p>
    <w:p>
      <w:pPr>
        <w:numPr>
          <w:ilvl w:val="0"/>
          <w:numId w:val="28"/>
        </w:numPr>
        <w:spacing w:after="0" w:before="0" w:line="354" w:lineRule="auto"/>
        <w:jc w:val="start"/>
      </w:pPr>
      <w:r>
        <w:rPr>
          <w:rFonts w:ascii="Rockwell" w:hAnsi="Rockwell" w:cs="Rockwell" w:eastAsia="Rockwell"/>
          <w:color w:val="ffffff"/>
          <w:sz w:val="23"/>
          <w:szCs w:val="23"/>
          <w:highlight w:val="darkMagenta"/>
        </w:rPr>
        <w:t>Die Daten zeigen, dass die Pflanzenparameter durch die Behandlungen beeinflusst werden.</w:t>
      </w:r>
      <w:r>
        <w:rPr>
          <w:rFonts w:ascii="Rockwell" w:hAnsi="Rockwell" w:cs="Rockwell" w:eastAsia="Rockwell"/>
          <w:color w:val="ffffff"/>
          <w:sz w:val="23"/>
          <w:szCs w:val="23"/>
          <w:highlight w:val="darkMagenta"/>
        </w:rPr>
        <w:t xml:space="preserve">
</w:t>
      </w:r>
    </w:p>
    <w:p>
      <w:pPr>
        <w:numPr>
          <w:ilvl w:val="0"/>
          <w:numId w:val="28"/>
        </w:numPr>
        <w:spacing w:after="0" w:before="0" w:line="354" w:lineRule="auto"/>
        <w:jc w:val="start"/>
      </w:pPr>
      <w:r>
        <w:rPr>
          <w:rFonts w:ascii="Rockwell" w:hAnsi="Rockwell" w:cs="Rockwell" w:eastAsia="Rockwell"/>
          <w:color w:val="ffffff"/>
          <w:sz w:val="23"/>
          <w:szCs w:val="23"/>
          <w:highlight w:val="darkMagenta"/>
        </w:rPr>
        <w:t>Spezifische Werte und deren Bedeutung sind notwendig für eine detaillierte Analyse.</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6. Analyse der Daten zu Chicory (Wegwarte) (Bild 6, Bild 7, Bild 8)</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Boniturnoten der Wegwarte (Bild 6):</w:t>
      </w:r>
      <w:r>
        <w:rPr>
          <w:rFonts w:ascii="Rockwell" w:hAnsi="Rockwell" w:cs="Rockwell" w:eastAsia="Rockwell"/>
          <w:color w:val="ffffff"/>
          <w:sz w:val="23"/>
          <w:szCs w:val="23"/>
          <w:highlight w:val="darkMagenta"/>
        </w:rPr>
        <w:t xml:space="preserve">
</w:t>
      </w:r>
    </w:p>
    <w:p>
      <w:pPr>
        <w:numPr>
          <w:ilvl w:val="0"/>
          <w:numId w:val="29"/>
        </w:numPr>
        <w:spacing w:after="0" w:before="0" w:line="354" w:lineRule="auto"/>
        <w:jc w:val="start"/>
      </w:pPr>
      <w:r>
        <w:rPr>
          <w:rFonts w:ascii="Rockwell" w:hAnsi="Rockwell" w:cs="Rockwell" w:eastAsia="Rockwell"/>
          <w:color w:val="ffffff"/>
          <w:sz w:val="23"/>
          <w:szCs w:val="23"/>
          <w:highlight w:val="darkMagenta"/>
        </w:rPr>
        <w:t>Zeigt Entwicklung der Chicory unter verschiedenen Bedingungen (Dünger, Exposition, Präparate).</w:t>
      </w:r>
      <w:r>
        <w:rPr>
          <w:rFonts w:ascii="Rockwell" w:hAnsi="Rockwell" w:cs="Rockwell" w:eastAsia="Rockwell"/>
          <w:color w:val="ffffff"/>
          <w:sz w:val="23"/>
          <w:szCs w:val="23"/>
          <w:highlight w:val="darkMagenta"/>
        </w:rPr>
        <w:t xml:space="preserve">
</w:t>
      </w:r>
    </w:p>
    <w:p>
      <w:pPr>
        <w:numPr>
          <w:ilvl w:val="0"/>
          <w:numId w:val="29"/>
        </w:numPr>
        <w:spacing w:after="0" w:before="0" w:line="354" w:lineRule="auto"/>
        <w:jc w:val="start"/>
      </w:pPr>
      <w:r>
        <w:rPr>
          <w:rFonts w:ascii="Rockwell" w:hAnsi="Rockwell" w:cs="Rockwell" w:eastAsia="Rockwell"/>
          <w:color w:val="ffffff"/>
          <w:sz w:val="23"/>
          <w:szCs w:val="23"/>
          <w:highlight w:val="darkMagenta"/>
        </w:rPr>
        <w:t>Signifikante Unterschiede in der Exposition:</w:t>
      </w:r>
      <w:r>
        <w:rPr>
          <w:rFonts w:ascii="Rockwell" w:hAnsi="Rockwell" w:cs="Rockwell" w:eastAsia="Rockwell"/>
          <w:color w:val="ffffff"/>
          <w:sz w:val="23"/>
          <w:szCs w:val="23"/>
          <w:highlight w:val="darkMagenta"/>
        </w:rPr>
        <w:t xml:space="preserve">
</w:t>
      </w:r>
    </w:p>
    <w:p>
      <w:pPr>
        <w:numPr>
          <w:ilvl w:val="1"/>
          <w:numId w:val="29"/>
        </w:numPr>
        <w:spacing w:after="0" w:before="0" w:line="354" w:lineRule="auto"/>
        <w:jc w:val="start"/>
      </w:pPr>
      <w:r>
        <w:rPr>
          <w:rFonts w:ascii="Rockwell Bold" w:hAnsi="Rockwell Bold" w:cs="Rockwell Bold" w:eastAsia="Rockwell Bold"/>
          <w:b/>
          <w:bCs/>
          <w:color w:val="ffffff"/>
          <w:sz w:val="23"/>
          <w:szCs w:val="23"/>
          <w:highlight w:val="darkMagenta"/>
        </w:rPr>
        <w:t>Sproßentwicklung BN 1</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2"/>
          <w:numId w:val="29"/>
        </w:numPr>
        <w:spacing w:after="0" w:before="0" w:line="354" w:lineRule="auto"/>
        <w:jc w:val="start"/>
      </w:pPr>
      <w:r>
        <w:rPr>
          <w:rFonts w:ascii="Rockwell" w:hAnsi="Rockwell" w:cs="Rockwell" w:eastAsia="Rockwell"/>
          <w:color w:val="ffffff"/>
          <w:sz w:val="23"/>
          <w:szCs w:val="23"/>
          <w:highlight w:val="darkMagenta"/>
        </w:rPr>
        <w:t>Nord: 1.34</w:t>
      </w:r>
      <w:r>
        <w:rPr>
          <w:rFonts w:ascii="Rockwell" w:hAnsi="Rockwell" w:cs="Rockwell" w:eastAsia="Rockwell"/>
          <w:color w:val="ffffff"/>
          <w:sz w:val="23"/>
          <w:szCs w:val="23"/>
          <w:highlight w:val="darkMagenta"/>
        </w:rPr>
        <w:t xml:space="preserve">
</w:t>
      </w:r>
    </w:p>
    <w:p>
      <w:pPr>
        <w:numPr>
          <w:ilvl w:val="2"/>
          <w:numId w:val="29"/>
        </w:numPr>
        <w:spacing w:after="0" w:before="0" w:line="354" w:lineRule="auto"/>
        <w:jc w:val="start"/>
      </w:pPr>
      <w:r>
        <w:rPr>
          <w:rFonts w:ascii="Rockwell" w:hAnsi="Rockwell" w:cs="Rockwell" w:eastAsia="Rockwell"/>
          <w:color w:val="ffffff"/>
          <w:sz w:val="23"/>
          <w:szCs w:val="23"/>
          <w:highlight w:val="darkMagenta"/>
        </w:rPr>
        <w:t>Süd: 1.71** (p &lt; 0.01)</w:t>
      </w:r>
      <w:r>
        <w:rPr>
          <w:rFonts w:ascii="Rockwell" w:hAnsi="Rockwell" w:cs="Rockwell" w:eastAsia="Rockwell"/>
          <w:color w:val="ffffff"/>
          <w:sz w:val="23"/>
          <w:szCs w:val="23"/>
          <w:highlight w:val="darkMagenta"/>
        </w:rPr>
        <w:t xml:space="preserve">
</w:t>
      </w:r>
    </w:p>
    <w:p>
      <w:pPr>
        <w:numPr>
          <w:ilvl w:val="1"/>
          <w:numId w:val="29"/>
        </w:numPr>
        <w:spacing w:after="0" w:before="0" w:line="354" w:lineRule="auto"/>
        <w:jc w:val="start"/>
      </w:pPr>
      <w:r>
        <w:rPr>
          <w:rFonts w:ascii="Rockwell Bold" w:hAnsi="Rockwell Bold" w:cs="Rockwell Bold" w:eastAsia="Rockwell Bold"/>
          <w:b/>
          <w:bCs/>
          <w:color w:val="ffffff"/>
          <w:sz w:val="23"/>
          <w:szCs w:val="23"/>
          <w:highlight w:val="darkMagenta"/>
        </w:rPr>
        <w:t>Sproßentwicklung BN 2</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2"/>
          <w:numId w:val="29"/>
        </w:numPr>
        <w:spacing w:after="0" w:before="0" w:line="354" w:lineRule="auto"/>
        <w:jc w:val="start"/>
      </w:pPr>
      <w:r>
        <w:rPr>
          <w:rFonts w:ascii="Rockwell" w:hAnsi="Rockwell" w:cs="Rockwell" w:eastAsia="Rockwell"/>
          <w:color w:val="ffffff"/>
          <w:sz w:val="23"/>
          <w:szCs w:val="23"/>
          <w:highlight w:val="darkMagenta"/>
        </w:rPr>
        <w:t>Nord: 1.54</w:t>
      </w:r>
      <w:r>
        <w:rPr>
          <w:rFonts w:ascii="Rockwell" w:hAnsi="Rockwell" w:cs="Rockwell" w:eastAsia="Rockwell"/>
          <w:color w:val="ffffff"/>
          <w:sz w:val="23"/>
          <w:szCs w:val="23"/>
          <w:highlight w:val="darkMagenta"/>
        </w:rPr>
        <w:t xml:space="preserve">
</w:t>
      </w:r>
    </w:p>
    <w:p>
      <w:pPr>
        <w:numPr>
          <w:ilvl w:val="2"/>
          <w:numId w:val="29"/>
        </w:numPr>
        <w:spacing w:after="0" w:before="0" w:line="354" w:lineRule="auto"/>
        <w:jc w:val="start"/>
      </w:pPr>
      <w:r>
        <w:rPr>
          <w:rFonts w:ascii="Rockwell" w:hAnsi="Rockwell" w:cs="Rockwell" w:eastAsia="Rockwell"/>
          <w:color w:val="ffffff"/>
          <w:sz w:val="23"/>
          <w:szCs w:val="23"/>
          <w:highlight w:val="darkMagenta"/>
        </w:rPr>
        <w:t>Süd: 2.10** (p &lt; 0.01)</w:t>
      </w:r>
      <w:r>
        <w:rPr>
          <w:rFonts w:ascii="Rockwell" w:hAnsi="Rockwell" w:cs="Rockwell" w:eastAsia="Rockwell"/>
          <w:color w:val="ffffff"/>
          <w:sz w:val="23"/>
          <w:szCs w:val="23"/>
          <w:highlight w:val="darkMagenta"/>
        </w:rPr>
        <w:t xml:space="preserve">
</w:t>
      </w:r>
    </w:p>
    <w:p>
      <w:pPr>
        <w:numPr>
          <w:ilvl w:val="1"/>
          <w:numId w:val="29"/>
        </w:numPr>
        <w:spacing w:after="0" w:before="0" w:line="354" w:lineRule="auto"/>
        <w:jc w:val="start"/>
      </w:pPr>
      <w:r>
        <w:rPr>
          <w:rFonts w:ascii="Rockwell Bold" w:hAnsi="Rockwell Bold" w:cs="Rockwell Bold" w:eastAsia="Rockwell Bold"/>
          <w:b/>
          <w:bCs/>
          <w:color w:val="ffffff"/>
          <w:sz w:val="23"/>
          <w:szCs w:val="23"/>
          <w:highlight w:val="darkMagenta"/>
        </w:rPr>
        <w:t>BN 2-BN 1</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2"/>
          <w:numId w:val="29"/>
        </w:numPr>
        <w:spacing w:after="0" w:before="0" w:line="354" w:lineRule="auto"/>
        <w:jc w:val="start"/>
      </w:pPr>
      <w:r>
        <w:rPr>
          <w:rFonts w:ascii="Rockwell" w:hAnsi="Rockwell" w:cs="Rockwell" w:eastAsia="Rockwell"/>
          <w:color w:val="ffffff"/>
          <w:sz w:val="23"/>
          <w:szCs w:val="23"/>
          <w:highlight w:val="darkMagenta"/>
        </w:rPr>
        <w:t>Nord: 0.20</w:t>
      </w:r>
      <w:r>
        <w:rPr>
          <w:rFonts w:ascii="Rockwell" w:hAnsi="Rockwell" w:cs="Rockwell" w:eastAsia="Rockwell"/>
          <w:color w:val="ffffff"/>
          <w:sz w:val="23"/>
          <w:szCs w:val="23"/>
          <w:highlight w:val="darkMagenta"/>
        </w:rPr>
        <w:t xml:space="preserve">
</w:t>
      </w:r>
    </w:p>
    <w:p>
      <w:pPr>
        <w:numPr>
          <w:ilvl w:val="2"/>
          <w:numId w:val="29"/>
        </w:numPr>
        <w:spacing w:after="0" w:before="0" w:line="354" w:lineRule="auto"/>
        <w:jc w:val="start"/>
      </w:pPr>
      <w:r>
        <w:rPr>
          <w:rFonts w:ascii="Rockwell" w:hAnsi="Rockwell" w:cs="Rockwell" w:eastAsia="Rockwell"/>
          <w:color w:val="ffffff"/>
          <w:sz w:val="23"/>
          <w:szCs w:val="23"/>
          <w:highlight w:val="darkMagenta"/>
        </w:rPr>
        <w:t>Süd: 0.40* (p &lt; 0.05)</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Oberirdische Frischmasse der Wegwarte (Bild 7):</w:t>
      </w:r>
      <w:r>
        <w:rPr>
          <w:rFonts w:ascii="Rockwell" w:hAnsi="Rockwell" w:cs="Rockwell" w:eastAsia="Rockwell"/>
          <w:color w:val="ffffff"/>
          <w:sz w:val="23"/>
          <w:szCs w:val="23"/>
          <w:highlight w:val="darkMagenta"/>
        </w:rPr>
        <w:t xml:space="preserve">
</w:t>
      </w:r>
    </w:p>
    <w:p>
      <w:pPr>
        <w:numPr>
          <w:ilvl w:val="0"/>
          <w:numId w:val="30"/>
        </w:numPr>
        <w:spacing w:after="0" w:before="0" w:line="354" w:lineRule="auto"/>
        <w:jc w:val="start"/>
      </w:pPr>
      <w:r>
        <w:rPr>
          <w:rFonts w:ascii="Rockwell" w:hAnsi="Rockwell" w:cs="Rockwell" w:eastAsia="Rockwell"/>
          <w:color w:val="ffffff"/>
          <w:sz w:val="23"/>
          <w:szCs w:val="23"/>
          <w:highlight w:val="darkMagenta"/>
        </w:rPr>
        <w:t>Zeigt die Frischmasse unter verschiedenen Varianten (Präparate, Nord/Süd).</w:t>
      </w:r>
      <w:r>
        <w:rPr>
          <w:rFonts w:ascii="Rockwell" w:hAnsi="Rockwell" w:cs="Rockwell" w:eastAsia="Rockwell"/>
          <w:color w:val="ffffff"/>
          <w:sz w:val="23"/>
          <w:szCs w:val="23"/>
          <w:highlight w:val="darkMagenta"/>
        </w:rPr>
        <w:t xml:space="preserve">
</w:t>
      </w:r>
    </w:p>
    <w:p>
      <w:pPr>
        <w:numPr>
          <w:ilvl w:val="0"/>
          <w:numId w:val="30"/>
        </w:numPr>
        <w:spacing w:after="0" w:before="0" w:line="354" w:lineRule="auto"/>
        <w:jc w:val="start"/>
      </w:pPr>
      <w:r>
        <w:rPr>
          <w:rFonts w:ascii="Rockwell Bold" w:hAnsi="Rockwell Bold" w:cs="Rockwell Bold" w:eastAsia="Rockwell Bold"/>
          <w:b/>
          <w:bCs/>
          <w:color w:val="ffffff"/>
          <w:sz w:val="23"/>
          <w:szCs w:val="23"/>
          <w:highlight w:val="darkMagenta"/>
        </w:rPr>
        <w:t>Mist</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1"/>
          <w:numId w:val="30"/>
        </w:numPr>
        <w:spacing w:after="0" w:before="0" w:line="354" w:lineRule="auto"/>
        <w:jc w:val="start"/>
      </w:pPr>
      <w:r>
        <w:rPr>
          <w:rFonts w:ascii="Rockwell" w:hAnsi="Rockwell" w:cs="Rockwell" w:eastAsia="Rockwell"/>
          <w:color w:val="ffffff"/>
          <w:sz w:val="23"/>
          <w:szCs w:val="23"/>
          <w:highlight w:val="darkMagenta"/>
        </w:rPr>
        <w:t>Präparate, Nord: 425.2 g</w:t>
      </w:r>
      <w:r>
        <w:rPr>
          <w:rFonts w:ascii="Rockwell" w:hAnsi="Rockwell" w:cs="Rockwell" w:eastAsia="Rockwell"/>
          <w:color w:val="ffffff"/>
          <w:sz w:val="23"/>
          <w:szCs w:val="23"/>
          <w:highlight w:val="darkMagenta"/>
        </w:rPr>
        <w:t xml:space="preserve">
</w:t>
      </w:r>
    </w:p>
    <w:p>
      <w:pPr>
        <w:numPr>
          <w:ilvl w:val="1"/>
          <w:numId w:val="30"/>
        </w:numPr>
        <w:spacing w:after="0" w:before="0" w:line="354" w:lineRule="auto"/>
        <w:jc w:val="start"/>
      </w:pPr>
      <w:r>
        <w:rPr>
          <w:rFonts w:ascii="Rockwell" w:hAnsi="Rockwell" w:cs="Rockwell" w:eastAsia="Rockwell"/>
          <w:color w:val="ffffff"/>
          <w:sz w:val="23"/>
          <w:szCs w:val="23"/>
          <w:highlight w:val="darkMagenta"/>
        </w:rPr>
        <w:t>Präparate, Süd: 306.3 g</w:t>
      </w:r>
      <w:r>
        <w:rPr>
          <w:rFonts w:ascii="Rockwell" w:hAnsi="Rockwell" w:cs="Rockwell" w:eastAsia="Rockwell"/>
          <w:color w:val="ffffff"/>
          <w:sz w:val="23"/>
          <w:szCs w:val="23"/>
          <w:highlight w:val="darkMagenta"/>
        </w:rPr>
        <w:t xml:space="preserve">
</w:t>
      </w:r>
    </w:p>
    <w:p>
      <w:pPr>
        <w:numPr>
          <w:ilvl w:val="1"/>
          <w:numId w:val="30"/>
        </w:numPr>
        <w:spacing w:after="0" w:before="0" w:line="354" w:lineRule="auto"/>
        <w:jc w:val="start"/>
      </w:pPr>
      <w:r>
        <w:rPr>
          <w:rFonts w:ascii="Rockwell" w:hAnsi="Rockwell" w:cs="Rockwell" w:eastAsia="Rockwell"/>
          <w:color w:val="ffffff"/>
          <w:sz w:val="23"/>
          <w:szCs w:val="23"/>
          <w:highlight w:val="darkMagenta"/>
        </w:rPr>
        <w:t>Ohne, Nord: 473.2 g</w:t>
      </w:r>
      <w:r>
        <w:rPr>
          <w:rFonts w:ascii="Rockwell" w:hAnsi="Rockwell" w:cs="Rockwell" w:eastAsia="Rockwell"/>
          <w:color w:val="ffffff"/>
          <w:sz w:val="23"/>
          <w:szCs w:val="23"/>
          <w:highlight w:val="darkMagenta"/>
        </w:rPr>
        <w:t xml:space="preserve">
</w:t>
      </w:r>
    </w:p>
    <w:p>
      <w:pPr>
        <w:numPr>
          <w:ilvl w:val="1"/>
          <w:numId w:val="30"/>
        </w:numPr>
        <w:spacing w:after="0" w:before="0" w:line="354" w:lineRule="auto"/>
        <w:jc w:val="start"/>
      </w:pPr>
      <w:r>
        <w:rPr>
          <w:rFonts w:ascii="Rockwell" w:hAnsi="Rockwell" w:cs="Rockwell" w:eastAsia="Rockwell"/>
          <w:color w:val="ffffff"/>
          <w:sz w:val="23"/>
          <w:szCs w:val="23"/>
          <w:highlight w:val="darkMagenta"/>
        </w:rPr>
        <w:t>Ohne, Süd: 309.8 g</w:t>
      </w:r>
      <w:r>
        <w:rPr>
          <w:rFonts w:ascii="Rockwell" w:hAnsi="Rockwell" w:cs="Rockwell" w:eastAsia="Rockwell"/>
          <w:color w:val="ffffff"/>
          <w:sz w:val="23"/>
          <w:szCs w:val="23"/>
          <w:highlight w:val="darkMagenta"/>
        </w:rPr>
        <w:t xml:space="preserve">
</w:t>
      </w:r>
    </w:p>
    <w:p>
      <w:pPr>
        <w:numPr>
          <w:ilvl w:val="0"/>
          <w:numId w:val="30"/>
        </w:numPr>
        <w:spacing w:after="0" w:before="0" w:line="354" w:lineRule="auto"/>
        <w:jc w:val="start"/>
      </w:pPr>
      <w:r>
        <w:rPr>
          <w:rFonts w:ascii="Rockwell Bold" w:hAnsi="Rockwell Bold" w:cs="Rockwell Bold" w:eastAsia="Rockwell Bold"/>
          <w:b/>
          <w:bCs/>
          <w:color w:val="ffffff"/>
          <w:sz w:val="23"/>
          <w:szCs w:val="23"/>
          <w:highlight w:val="darkMagenta"/>
        </w:rPr>
        <w:t>Kompost</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1"/>
          <w:numId w:val="30"/>
        </w:numPr>
        <w:spacing w:after="0" w:before="0" w:line="354" w:lineRule="auto"/>
        <w:jc w:val="start"/>
      </w:pPr>
      <w:r>
        <w:rPr>
          <w:rFonts w:ascii="Rockwell" w:hAnsi="Rockwell" w:cs="Rockwell" w:eastAsia="Rockwell"/>
          <w:color w:val="ffffff"/>
          <w:sz w:val="23"/>
          <w:szCs w:val="23"/>
          <w:highlight w:val="darkMagenta"/>
        </w:rPr>
        <w:t>Präparate, Nord: 471 g</w:t>
      </w:r>
      <w:r>
        <w:rPr>
          <w:rFonts w:ascii="Rockwell" w:hAnsi="Rockwell" w:cs="Rockwell" w:eastAsia="Rockwell"/>
          <w:color w:val="ffffff"/>
          <w:sz w:val="23"/>
          <w:szCs w:val="23"/>
          <w:highlight w:val="darkMagenta"/>
        </w:rPr>
        <w:t xml:space="preserve">
</w:t>
      </w:r>
    </w:p>
    <w:p>
      <w:pPr>
        <w:numPr>
          <w:ilvl w:val="1"/>
          <w:numId w:val="30"/>
        </w:numPr>
        <w:spacing w:after="0" w:before="0" w:line="354" w:lineRule="auto"/>
        <w:jc w:val="start"/>
      </w:pPr>
      <w:r>
        <w:rPr>
          <w:rFonts w:ascii="Rockwell" w:hAnsi="Rockwell" w:cs="Rockwell" w:eastAsia="Rockwell"/>
          <w:color w:val="ffffff"/>
          <w:sz w:val="23"/>
          <w:szCs w:val="23"/>
          <w:highlight w:val="darkMagenta"/>
        </w:rPr>
        <w:t>Präparate, Süd: 271.8 g</w:t>
      </w:r>
      <w:r>
        <w:rPr>
          <w:rFonts w:ascii="Rockwell" w:hAnsi="Rockwell" w:cs="Rockwell" w:eastAsia="Rockwell"/>
          <w:color w:val="ffffff"/>
          <w:sz w:val="23"/>
          <w:szCs w:val="23"/>
          <w:highlight w:val="darkMagenta"/>
        </w:rPr>
        <w:t xml:space="preserve">
</w:t>
      </w:r>
    </w:p>
    <w:p>
      <w:pPr>
        <w:numPr>
          <w:ilvl w:val="1"/>
          <w:numId w:val="30"/>
        </w:numPr>
        <w:spacing w:after="0" w:before="0" w:line="354" w:lineRule="auto"/>
        <w:jc w:val="start"/>
      </w:pPr>
      <w:r>
        <w:rPr>
          <w:rFonts w:ascii="Rockwell" w:hAnsi="Rockwell" w:cs="Rockwell" w:eastAsia="Rockwell"/>
          <w:color w:val="ffffff"/>
          <w:sz w:val="23"/>
          <w:szCs w:val="23"/>
          <w:highlight w:val="darkMagenta"/>
        </w:rPr>
        <w:t>Ohne, Nord: 472.7 g</w:t>
      </w:r>
      <w:r>
        <w:rPr>
          <w:rFonts w:ascii="Rockwell" w:hAnsi="Rockwell" w:cs="Rockwell" w:eastAsia="Rockwell"/>
          <w:color w:val="ffffff"/>
          <w:sz w:val="23"/>
          <w:szCs w:val="23"/>
          <w:highlight w:val="darkMagenta"/>
        </w:rPr>
        <w:t xml:space="preserve">
</w:t>
      </w:r>
    </w:p>
    <w:p>
      <w:pPr>
        <w:numPr>
          <w:ilvl w:val="1"/>
          <w:numId w:val="30"/>
        </w:numPr>
        <w:spacing w:after="0" w:before="0" w:line="354" w:lineRule="auto"/>
        <w:jc w:val="start"/>
      </w:pPr>
      <w:r>
        <w:rPr>
          <w:rFonts w:ascii="Rockwell" w:hAnsi="Rockwell" w:cs="Rockwell" w:eastAsia="Rockwell"/>
          <w:color w:val="ffffff"/>
          <w:sz w:val="23"/>
          <w:szCs w:val="23"/>
          <w:highlight w:val="darkMagenta"/>
        </w:rPr>
        <w:t>Ohne, Süd: 233 g</w:t>
      </w:r>
      <w:r>
        <w:rPr>
          <w:rFonts w:ascii="Rockwell" w:hAnsi="Rockwell" w:cs="Rockwell" w:eastAsia="Rockwell"/>
          <w:color w:val="ffffff"/>
          <w:sz w:val="23"/>
          <w:szCs w:val="23"/>
          <w:highlight w:val="darkMagenta"/>
        </w:rPr>
        <w:t xml:space="preserve">
</w:t>
      </w:r>
    </w:p>
    <w:p>
      <w:pPr>
        <w:numPr>
          <w:ilvl w:val="0"/>
          <w:numId w:val="30"/>
        </w:numPr>
        <w:spacing w:after="0" w:before="0" w:line="354" w:lineRule="auto"/>
        <w:jc w:val="start"/>
      </w:pPr>
      <w:r>
        <w:rPr>
          <w:rFonts w:ascii="Rockwell" w:hAnsi="Rockwell" w:cs="Rockwell" w:eastAsia="Rockwell"/>
          <w:color w:val="ffffff"/>
          <w:sz w:val="23"/>
          <w:szCs w:val="23"/>
          <w:highlight w:val="darkMagenta"/>
        </w:rPr>
        <w:t>Unterschiede zwischen Nord und Süd sind deutlich, besonders bei Kompost.</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Frischmasse des oberirdischen Sprosses der Wegwarte (Bild 8):</w:t>
      </w:r>
      <w:r>
        <w:rPr>
          <w:rFonts w:ascii="Rockwell" w:hAnsi="Rockwell" w:cs="Rockwell" w:eastAsia="Rockwell"/>
          <w:color w:val="ffffff"/>
          <w:sz w:val="23"/>
          <w:szCs w:val="23"/>
          <w:highlight w:val="darkMagenta"/>
        </w:rPr>
        <w:t xml:space="preserve">
</w:t>
      </w:r>
    </w:p>
    <w:p>
      <w:pPr>
        <w:numPr>
          <w:ilvl w:val="0"/>
          <w:numId w:val="31"/>
        </w:numPr>
        <w:spacing w:after="0" w:before="0" w:line="354" w:lineRule="auto"/>
        <w:jc w:val="start"/>
      </w:pPr>
      <w:r>
        <w:rPr>
          <w:rFonts w:ascii="Rockwell" w:hAnsi="Rockwell" w:cs="Rockwell" w:eastAsia="Rockwell"/>
          <w:color w:val="ffffff"/>
          <w:sz w:val="23"/>
          <w:szCs w:val="23"/>
          <w:highlight w:val="darkMagenta"/>
        </w:rPr>
        <w:t>Zeigt Frischgewicht unter verschiedenen Bedingungen:</w:t>
      </w:r>
      <w:r>
        <w:rPr>
          <w:rFonts w:ascii="Rockwell" w:hAnsi="Rockwell" w:cs="Rockwell" w:eastAsia="Rockwell"/>
          <w:color w:val="ffffff"/>
          <w:sz w:val="23"/>
          <w:szCs w:val="23"/>
          <w:highlight w:val="darkMagenta"/>
        </w:rPr>
        <w:t xml:space="preserve">
</w:t>
      </w:r>
    </w:p>
    <w:p>
      <w:pPr>
        <w:numPr>
          <w:ilvl w:val="1"/>
          <w:numId w:val="31"/>
        </w:numPr>
        <w:spacing w:after="0" w:before="0" w:line="354" w:lineRule="auto"/>
        <w:jc w:val="start"/>
      </w:pPr>
      <w:r>
        <w:rPr>
          <w:rFonts w:ascii="Rockwell" w:hAnsi="Rockwell" w:cs="Rockwell" w:eastAsia="Rockwell"/>
          <w:color w:val="ffffff"/>
          <w:sz w:val="23"/>
          <w:szCs w:val="23"/>
          <w:highlight w:val="darkMagenta"/>
        </w:rPr>
        <w:t>Kompost: 362.1 g</w:t>
      </w:r>
      <w:r>
        <w:rPr>
          <w:rFonts w:ascii="Rockwell" w:hAnsi="Rockwell" w:cs="Rockwell" w:eastAsia="Rockwell"/>
          <w:color w:val="ffffff"/>
          <w:sz w:val="23"/>
          <w:szCs w:val="23"/>
          <w:highlight w:val="darkMagenta"/>
        </w:rPr>
        <w:t xml:space="preserve">
</w:t>
      </w:r>
    </w:p>
    <w:p>
      <w:pPr>
        <w:numPr>
          <w:ilvl w:val="1"/>
          <w:numId w:val="31"/>
        </w:numPr>
        <w:spacing w:after="0" w:before="0" w:line="354" w:lineRule="auto"/>
        <w:jc w:val="start"/>
      </w:pPr>
      <w:r>
        <w:rPr>
          <w:rFonts w:ascii="Rockwell" w:hAnsi="Rockwell" w:cs="Rockwell" w:eastAsia="Rockwell"/>
          <w:color w:val="ffffff"/>
          <w:sz w:val="23"/>
          <w:szCs w:val="23"/>
          <w:highlight w:val="darkMagenta"/>
        </w:rPr>
        <w:t>Mist: n.s.</w:t>
      </w:r>
      <w:r>
        <w:rPr>
          <w:rFonts w:ascii="Rockwell" w:hAnsi="Rockwell" w:cs="Rockwell" w:eastAsia="Rockwell"/>
          <w:color w:val="ffffff"/>
          <w:sz w:val="23"/>
          <w:szCs w:val="23"/>
          <w:highlight w:val="darkMagenta"/>
        </w:rPr>
        <w:t xml:space="preserve">
</w:t>
      </w:r>
    </w:p>
    <w:p>
      <w:pPr>
        <w:numPr>
          <w:ilvl w:val="1"/>
          <w:numId w:val="31"/>
        </w:numPr>
        <w:spacing w:after="0" w:before="0" w:line="354" w:lineRule="auto"/>
        <w:jc w:val="start"/>
      </w:pPr>
      <w:r>
        <w:rPr>
          <w:rFonts w:ascii="Rockwell" w:hAnsi="Rockwell" w:cs="Rockwell" w:eastAsia="Rockwell"/>
          <w:color w:val="ffffff"/>
          <w:sz w:val="23"/>
          <w:szCs w:val="23"/>
          <w:highlight w:val="darkMagenta"/>
        </w:rPr>
        <w:t>Nord: 280.2 g</w:t>
      </w:r>
      <w:r>
        <w:rPr>
          <w:rFonts w:ascii="Rockwell" w:hAnsi="Rockwell" w:cs="Rockwell" w:eastAsia="Rockwell"/>
          <w:color w:val="ffffff"/>
          <w:sz w:val="23"/>
          <w:szCs w:val="23"/>
          <w:highlight w:val="darkMagenta"/>
        </w:rPr>
        <w:t xml:space="preserve">
</w:t>
      </w:r>
    </w:p>
    <w:p>
      <w:pPr>
        <w:numPr>
          <w:ilvl w:val="1"/>
          <w:numId w:val="31"/>
        </w:numPr>
        <w:spacing w:after="0" w:before="0" w:line="354" w:lineRule="auto"/>
        <w:jc w:val="start"/>
      </w:pPr>
      <w:r>
        <w:rPr>
          <w:rFonts w:ascii="Rockwell" w:hAnsi="Rockwell" w:cs="Rockwell" w:eastAsia="Rockwell"/>
          <w:color w:val="ffffff"/>
          <w:sz w:val="23"/>
          <w:szCs w:val="23"/>
          <w:highlight w:val="darkMagenta"/>
        </w:rPr>
        <w:t>Süd: 460.5 g</w:t>
      </w:r>
      <w:r>
        <w:rPr>
          <w:rFonts w:ascii="Rockwell" w:hAnsi="Rockwell" w:cs="Rockwell" w:eastAsia="Rockwell"/>
          <w:color w:val="ffffff"/>
          <w:sz w:val="23"/>
          <w:szCs w:val="23"/>
          <w:highlight w:val="darkMagenta"/>
        </w:rPr>
        <w:t xml:space="preserve">
</w:t>
      </w:r>
    </w:p>
    <w:p>
      <w:pPr>
        <w:numPr>
          <w:ilvl w:val="1"/>
          <w:numId w:val="31"/>
        </w:numPr>
        <w:spacing w:after="0" w:before="0" w:line="354" w:lineRule="auto"/>
        <w:jc w:val="start"/>
      </w:pPr>
      <w:r>
        <w:rPr>
          <w:rFonts w:ascii="Rockwell" w:hAnsi="Rockwell" w:cs="Rockwell" w:eastAsia="Rockwell"/>
          <w:color w:val="ffffff"/>
          <w:sz w:val="23"/>
          <w:szCs w:val="23"/>
          <w:highlight w:val="darkMagenta"/>
        </w:rPr>
        <w:t>Ohne Präparate: 372.2 g</w:t>
      </w:r>
      <w:r>
        <w:rPr>
          <w:rFonts w:ascii="Rockwell" w:hAnsi="Rockwell" w:cs="Rockwell" w:eastAsia="Rockwell"/>
          <w:color w:val="ffffff"/>
          <w:sz w:val="23"/>
          <w:szCs w:val="23"/>
          <w:highlight w:val="darkMagenta"/>
        </w:rPr>
        <w:t xml:space="preserve">
</w:t>
      </w:r>
    </w:p>
    <w:p>
      <w:pPr>
        <w:numPr>
          <w:ilvl w:val="1"/>
          <w:numId w:val="31"/>
        </w:numPr>
        <w:spacing w:after="0" w:before="0" w:line="354" w:lineRule="auto"/>
        <w:jc w:val="start"/>
      </w:pPr>
      <w:r>
        <w:rPr>
          <w:rFonts w:ascii="Rockwell" w:hAnsi="Rockwell" w:cs="Rockwell" w:eastAsia="Rockwell"/>
          <w:color w:val="ffffff"/>
          <w:sz w:val="23"/>
          <w:szCs w:val="23"/>
          <w:highlight w:val="darkMagenta"/>
        </w:rPr>
        <w:t>Mit Präparate: n.s.</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Interpretation:</w:t>
      </w:r>
      <w:r>
        <w:rPr>
          <w:rFonts w:ascii="Rockwell" w:hAnsi="Rockwell" w:cs="Rockwell" w:eastAsia="Rockwell"/>
          <w:color w:val="ffffff"/>
          <w:sz w:val="23"/>
          <w:szCs w:val="23"/>
          <w:highlight w:val="darkMagenta"/>
        </w:rPr>
        <w:t xml:space="preserve">
</w:t>
      </w:r>
    </w:p>
    <w:p>
      <w:pPr>
        <w:numPr>
          <w:ilvl w:val="0"/>
          <w:numId w:val="32"/>
        </w:numPr>
        <w:spacing w:after="0" w:before="0" w:line="354" w:lineRule="auto"/>
        <w:jc w:val="start"/>
      </w:pPr>
      <w:r>
        <w:rPr>
          <w:rFonts w:ascii="Rockwell" w:hAnsi="Rockwell" w:cs="Rockwell" w:eastAsia="Rockwell"/>
          <w:color w:val="ffffff"/>
          <w:sz w:val="23"/>
          <w:szCs w:val="23"/>
          <w:highlight w:val="darkMagenta"/>
        </w:rPr>
        <w:t>Die Exposition (Nord vs. Süd) hat einen signifikanten Einfluss auf die Entwicklung und Biomasse der Chicory.</w:t>
      </w:r>
      <w:r>
        <w:rPr>
          <w:rFonts w:ascii="Rockwell" w:hAnsi="Rockwell" w:cs="Rockwell" w:eastAsia="Rockwell"/>
          <w:color w:val="ffffff"/>
          <w:sz w:val="23"/>
          <w:szCs w:val="23"/>
          <w:highlight w:val="darkMagenta"/>
        </w:rPr>
        <w:t xml:space="preserve">
</w:t>
      </w:r>
    </w:p>
    <w:p>
      <w:pPr>
        <w:numPr>
          <w:ilvl w:val="0"/>
          <w:numId w:val="32"/>
        </w:numPr>
        <w:spacing w:after="0" w:before="0" w:line="354" w:lineRule="auto"/>
        <w:jc w:val="start"/>
      </w:pPr>
      <w:r>
        <w:rPr>
          <w:rFonts w:ascii="Rockwell" w:hAnsi="Rockwell" w:cs="Rockwell" w:eastAsia="Rockwell"/>
          <w:color w:val="ffffff"/>
          <w:sz w:val="23"/>
          <w:szCs w:val="23"/>
          <w:highlight w:val="darkMagenta"/>
        </w:rPr>
        <w:t>Präparate scheinen keinen signifikanten Effekt zu haben, da viele Werte als „n.s.“ (nicht signifikant) markiert sind.</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7. Analyse der Daten zu Plantain (Blattwegerich) (Bild 9)</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Trockenmasse des Blattwegerichs (Bild 9):</w:t>
      </w:r>
      <w:r>
        <w:rPr>
          <w:rFonts w:ascii="Rockwell" w:hAnsi="Rockwell" w:cs="Rockwell" w:eastAsia="Rockwell"/>
          <w:color w:val="ffffff"/>
          <w:sz w:val="23"/>
          <w:szCs w:val="23"/>
          <w:highlight w:val="darkMagenta"/>
        </w:rPr>
        <w:t xml:space="preserve">
</w:t>
      </w:r>
    </w:p>
    <w:p>
      <w:pPr>
        <w:numPr>
          <w:ilvl w:val="0"/>
          <w:numId w:val="33"/>
        </w:numPr>
        <w:spacing w:after="0" w:before="0" w:line="354" w:lineRule="auto"/>
        <w:jc w:val="start"/>
      </w:pPr>
      <w:r>
        <w:rPr>
          <w:rFonts w:ascii="Rockwell" w:hAnsi="Rockwell" w:cs="Rockwell" w:eastAsia="Rockwell"/>
          <w:color w:val="ffffff"/>
          <w:sz w:val="23"/>
          <w:szCs w:val="23"/>
          <w:highlight w:val="darkMagenta"/>
        </w:rPr>
        <w:t>Zeigt TM-Gehalt und Trockenmasse unter verschiedenen Bedingungen:</w:t>
      </w:r>
      <w:r>
        <w:rPr>
          <w:rFonts w:ascii="Rockwell" w:hAnsi="Rockwell" w:cs="Rockwell" w:eastAsia="Rockwell"/>
          <w:color w:val="ffffff"/>
          <w:sz w:val="23"/>
          <w:szCs w:val="23"/>
          <w:highlight w:val="darkMagenta"/>
        </w:rPr>
        <w:t xml:space="preserve">
</w:t>
      </w:r>
    </w:p>
    <w:p>
      <w:pPr>
        <w:numPr>
          <w:ilvl w:val="1"/>
          <w:numId w:val="33"/>
        </w:numPr>
        <w:spacing w:after="0" w:before="0" w:line="354" w:lineRule="auto"/>
        <w:jc w:val="start"/>
      </w:pPr>
      <w:r>
        <w:rPr>
          <w:rFonts w:ascii="Rockwell Bold" w:hAnsi="Rockwell Bold" w:cs="Rockwell Bold" w:eastAsia="Rockwell Bold"/>
          <w:b/>
          <w:bCs/>
          <w:color w:val="ffffff"/>
          <w:sz w:val="23"/>
          <w:szCs w:val="23"/>
          <w:highlight w:val="darkMagenta"/>
        </w:rPr>
        <w:t>TM-Gehalt</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2"/>
          <w:numId w:val="33"/>
        </w:numPr>
        <w:spacing w:after="0" w:before="0" w:line="354" w:lineRule="auto"/>
        <w:jc w:val="start"/>
      </w:pPr>
      <w:r>
        <w:rPr>
          <w:rFonts w:ascii="Rockwell" w:hAnsi="Rockwell" w:cs="Rockwell" w:eastAsia="Rockwell"/>
          <w:color w:val="ffffff"/>
          <w:sz w:val="23"/>
          <w:szCs w:val="23"/>
          <w:highlight w:val="darkMagenta"/>
        </w:rPr>
        <w:t>Kompost: 9.71</w:t>
      </w:r>
      <w:r>
        <w:rPr>
          <w:rFonts w:ascii="Rockwell" w:hAnsi="Rockwell" w:cs="Rockwell" w:eastAsia="Rockwell"/>
          <w:color w:val="ffffff"/>
          <w:sz w:val="23"/>
          <w:szCs w:val="23"/>
          <w:highlight w:val="darkMagenta"/>
        </w:rPr>
        <w:t xml:space="preserve">
</w:t>
      </w:r>
    </w:p>
    <w:p>
      <w:pPr>
        <w:numPr>
          <w:ilvl w:val="2"/>
          <w:numId w:val="33"/>
        </w:numPr>
        <w:spacing w:after="0" w:before="0" w:line="354" w:lineRule="auto"/>
        <w:jc w:val="start"/>
      </w:pPr>
      <w:r>
        <w:rPr>
          <w:rFonts w:ascii="Rockwell" w:hAnsi="Rockwell" w:cs="Rockwell" w:eastAsia="Rockwell"/>
          <w:color w:val="ffffff"/>
          <w:sz w:val="23"/>
          <w:szCs w:val="23"/>
          <w:highlight w:val="darkMagenta"/>
        </w:rPr>
        <w:t>Mist: 9.40 (n.s.)</w:t>
      </w:r>
      <w:r>
        <w:rPr>
          <w:rFonts w:ascii="Rockwell" w:hAnsi="Rockwell" w:cs="Rockwell" w:eastAsia="Rockwell"/>
          <w:color w:val="ffffff"/>
          <w:sz w:val="23"/>
          <w:szCs w:val="23"/>
          <w:highlight w:val="darkMagenta"/>
        </w:rPr>
        <w:t xml:space="preserve">
</w:t>
      </w:r>
    </w:p>
    <w:p>
      <w:pPr>
        <w:numPr>
          <w:ilvl w:val="2"/>
          <w:numId w:val="33"/>
        </w:numPr>
        <w:spacing w:after="0" w:before="0" w:line="354" w:lineRule="auto"/>
        <w:jc w:val="start"/>
      </w:pPr>
      <w:r>
        <w:rPr>
          <w:rFonts w:ascii="Rockwell" w:hAnsi="Rockwell" w:cs="Rockwell" w:eastAsia="Rockwell"/>
          <w:color w:val="ffffff"/>
          <w:sz w:val="23"/>
          <w:szCs w:val="23"/>
          <w:highlight w:val="darkMagenta"/>
        </w:rPr>
        <w:t>Nord: 8.96</w:t>
      </w:r>
      <w:r>
        <w:rPr>
          <w:rFonts w:ascii="Rockwell" w:hAnsi="Rockwell" w:cs="Rockwell" w:eastAsia="Rockwell"/>
          <w:color w:val="ffffff"/>
          <w:sz w:val="23"/>
          <w:szCs w:val="23"/>
          <w:highlight w:val="darkMagenta"/>
        </w:rPr>
        <w:t xml:space="preserve">
</w:t>
      </w:r>
    </w:p>
    <w:p>
      <w:pPr>
        <w:numPr>
          <w:ilvl w:val="2"/>
          <w:numId w:val="33"/>
        </w:numPr>
        <w:spacing w:after="0" w:before="0" w:line="354" w:lineRule="auto"/>
        <w:jc w:val="start"/>
      </w:pPr>
      <w:r>
        <w:rPr>
          <w:rFonts w:ascii="Rockwell" w:hAnsi="Rockwell" w:cs="Rockwell" w:eastAsia="Rockwell"/>
          <w:color w:val="ffffff"/>
          <w:sz w:val="23"/>
          <w:szCs w:val="23"/>
          <w:highlight w:val="darkMagenta"/>
        </w:rPr>
        <w:t>Süd: 10.15**</w:t>
      </w:r>
      <w:r>
        <w:rPr>
          <w:rFonts w:ascii="Rockwell" w:hAnsi="Rockwell" w:cs="Rockwell" w:eastAsia="Rockwell"/>
          <w:color w:val="ffffff"/>
          <w:sz w:val="23"/>
          <w:szCs w:val="23"/>
          <w:highlight w:val="darkMagenta"/>
        </w:rPr>
        <w:t xml:space="preserve">
</w:t>
      </w:r>
    </w:p>
    <w:p>
      <w:pPr>
        <w:numPr>
          <w:ilvl w:val="2"/>
          <w:numId w:val="33"/>
        </w:numPr>
        <w:spacing w:after="0" w:before="0" w:line="354" w:lineRule="auto"/>
        <w:jc w:val="start"/>
      </w:pPr>
      <w:r>
        <w:rPr>
          <w:rFonts w:ascii="Rockwell" w:hAnsi="Rockwell" w:cs="Rockwell" w:eastAsia="Rockwell"/>
          <w:color w:val="ffffff"/>
          <w:sz w:val="23"/>
          <w:szCs w:val="23"/>
          <w:highlight w:val="darkMagenta"/>
        </w:rPr>
        <w:t>Ohne Präparate: 9.73</w:t>
      </w:r>
      <w:r>
        <w:rPr>
          <w:rFonts w:ascii="Rockwell" w:hAnsi="Rockwell" w:cs="Rockwell" w:eastAsia="Rockwell"/>
          <w:color w:val="ffffff"/>
          <w:sz w:val="23"/>
          <w:szCs w:val="23"/>
          <w:highlight w:val="darkMagenta"/>
        </w:rPr>
        <w:t xml:space="preserve">
</w:t>
      </w:r>
    </w:p>
    <w:p>
      <w:pPr>
        <w:numPr>
          <w:ilvl w:val="2"/>
          <w:numId w:val="33"/>
        </w:numPr>
        <w:spacing w:after="0" w:before="0" w:line="354" w:lineRule="auto"/>
        <w:jc w:val="start"/>
      </w:pPr>
      <w:r>
        <w:rPr>
          <w:rFonts w:ascii="Rockwell" w:hAnsi="Rockwell" w:cs="Rockwell" w:eastAsia="Rockwell"/>
          <w:color w:val="ffffff"/>
          <w:sz w:val="23"/>
          <w:szCs w:val="23"/>
          <w:highlight w:val="darkMagenta"/>
        </w:rPr>
        <w:t>Mit Präparate: 9.37 (n.s.)</w:t>
      </w:r>
      <w:r>
        <w:rPr>
          <w:rFonts w:ascii="Rockwell" w:hAnsi="Rockwell" w:cs="Rockwell" w:eastAsia="Rockwell"/>
          <w:color w:val="ffffff"/>
          <w:sz w:val="23"/>
          <w:szCs w:val="23"/>
          <w:highlight w:val="darkMagenta"/>
        </w:rPr>
        <w:t xml:space="preserve">
</w:t>
      </w:r>
    </w:p>
    <w:p>
      <w:pPr>
        <w:numPr>
          <w:ilvl w:val="1"/>
          <w:numId w:val="33"/>
        </w:numPr>
        <w:spacing w:after="0" w:before="0" w:line="354" w:lineRule="auto"/>
        <w:jc w:val="start"/>
      </w:pPr>
      <w:r>
        <w:rPr>
          <w:rFonts w:ascii="Rockwell Bold" w:hAnsi="Rockwell Bold" w:cs="Rockwell Bold" w:eastAsia="Rockwell Bold"/>
          <w:b/>
          <w:bCs/>
          <w:color w:val="ffffff"/>
          <w:sz w:val="23"/>
          <w:szCs w:val="23"/>
          <w:highlight w:val="darkMagenta"/>
        </w:rPr>
        <w:t>Trockenmasse</w:t>
      </w:r>
      <w:r>
        <w:rPr>
          <w:rFonts w:ascii="Rockwell" w:hAnsi="Rockwell" w:cs="Rockwell" w:eastAsia="Rockwell"/>
          <w:color w:val="ffffff"/>
          <w:sz w:val="23"/>
          <w:szCs w:val="23"/>
          <w:highlight w:val="darkMagenta"/>
        </w:rPr>
        <w:t>:</w:t>
      </w:r>
      <w:r>
        <w:rPr>
          <w:rFonts w:ascii="Rockwell" w:hAnsi="Rockwell" w:cs="Rockwell" w:eastAsia="Rockwell"/>
          <w:color w:val="ffffff"/>
          <w:sz w:val="23"/>
          <w:szCs w:val="23"/>
          <w:highlight w:val="darkMagenta"/>
        </w:rPr>
        <w:t xml:space="preserve">
</w:t>
      </w:r>
    </w:p>
    <w:p>
      <w:pPr>
        <w:numPr>
          <w:ilvl w:val="2"/>
          <w:numId w:val="33"/>
        </w:numPr>
        <w:spacing w:after="0" w:before="0" w:line="354" w:lineRule="auto"/>
        <w:jc w:val="start"/>
      </w:pPr>
      <w:r>
        <w:rPr>
          <w:rFonts w:ascii="Rockwell" w:hAnsi="Rockwell" w:cs="Rockwell" w:eastAsia="Rockwell"/>
          <w:color w:val="ffffff"/>
          <w:sz w:val="23"/>
          <w:szCs w:val="23"/>
          <w:highlight w:val="darkMagenta"/>
        </w:rPr>
        <w:t>Kompost: 35.5</w:t>
      </w:r>
      <w:r>
        <w:rPr>
          <w:rFonts w:ascii="Rockwell" w:hAnsi="Rockwell" w:cs="Rockwell" w:eastAsia="Rockwell"/>
          <w:color w:val="ffffff"/>
          <w:sz w:val="23"/>
          <w:szCs w:val="23"/>
          <w:highlight w:val="darkMagenta"/>
        </w:rPr>
        <w:t xml:space="preserve">
</w:t>
      </w:r>
    </w:p>
    <w:p>
      <w:pPr>
        <w:numPr>
          <w:ilvl w:val="2"/>
          <w:numId w:val="33"/>
        </w:numPr>
        <w:spacing w:after="0" w:before="0" w:line="354" w:lineRule="auto"/>
        <w:jc w:val="start"/>
      </w:pPr>
      <w:r>
        <w:rPr>
          <w:rFonts w:ascii="Rockwell" w:hAnsi="Rockwell" w:cs="Rockwell" w:eastAsia="Rockwell"/>
          <w:color w:val="ffffff"/>
          <w:sz w:val="23"/>
          <w:szCs w:val="23"/>
          <w:highlight w:val="darkMagenta"/>
        </w:rPr>
        <w:t>Mist: 35.9 (n.s.)</w:t>
      </w:r>
      <w:r>
        <w:rPr>
          <w:rFonts w:ascii="Rockwell" w:hAnsi="Rockwell" w:cs="Rockwell" w:eastAsia="Rockwell"/>
          <w:color w:val="ffffff"/>
          <w:sz w:val="23"/>
          <w:szCs w:val="23"/>
          <w:highlight w:val="darkMagenta"/>
        </w:rPr>
        <w:t xml:space="preserve">
</w:t>
      </w:r>
    </w:p>
    <w:p>
      <w:pPr>
        <w:numPr>
          <w:ilvl w:val="2"/>
          <w:numId w:val="33"/>
        </w:numPr>
        <w:spacing w:after="0" w:before="0" w:line="354" w:lineRule="auto"/>
        <w:jc w:val="start"/>
      </w:pPr>
      <w:r>
        <w:rPr>
          <w:rFonts w:ascii="Rockwell" w:hAnsi="Rockwell" w:cs="Rockwell" w:eastAsia="Rockwell"/>
          <w:color w:val="ffffff"/>
          <w:sz w:val="23"/>
          <w:szCs w:val="23"/>
          <w:highlight w:val="darkMagenta"/>
        </w:rPr>
        <w:t>Nord: 25.1</w:t>
      </w:r>
      <w:r>
        <w:rPr>
          <w:rFonts w:ascii="Rockwell" w:hAnsi="Rockwell" w:cs="Rockwell" w:eastAsia="Rockwell"/>
          <w:color w:val="ffffff"/>
          <w:sz w:val="23"/>
          <w:szCs w:val="23"/>
          <w:highlight w:val="darkMagenta"/>
        </w:rPr>
        <w:t xml:space="preserve">
</w:t>
      </w:r>
    </w:p>
    <w:p>
      <w:pPr>
        <w:numPr>
          <w:ilvl w:val="2"/>
          <w:numId w:val="33"/>
        </w:numPr>
        <w:spacing w:after="0" w:before="0" w:line="354" w:lineRule="auto"/>
        <w:jc w:val="start"/>
      </w:pPr>
      <w:r>
        <w:rPr>
          <w:rFonts w:ascii="Rockwell" w:hAnsi="Rockwell" w:cs="Rockwell" w:eastAsia="Rockwell"/>
          <w:color w:val="ffffff"/>
          <w:sz w:val="23"/>
          <w:szCs w:val="23"/>
          <w:highlight w:val="darkMagenta"/>
        </w:rPr>
        <w:t>Süd: 46.3**</w:t>
      </w:r>
      <w:r>
        <w:rPr>
          <w:rFonts w:ascii="Rockwell" w:hAnsi="Rockwell" w:cs="Rockwell" w:eastAsia="Rockwell"/>
          <w:color w:val="ffffff"/>
          <w:sz w:val="23"/>
          <w:szCs w:val="23"/>
          <w:highlight w:val="darkMagenta"/>
        </w:rPr>
        <w:t xml:space="preserve">
</w:t>
      </w:r>
    </w:p>
    <w:p>
      <w:pPr>
        <w:numPr>
          <w:ilvl w:val="2"/>
          <w:numId w:val="33"/>
        </w:numPr>
        <w:spacing w:after="0" w:before="0" w:line="354" w:lineRule="auto"/>
        <w:jc w:val="start"/>
      </w:pPr>
      <w:r>
        <w:rPr>
          <w:rFonts w:ascii="Rockwell" w:hAnsi="Rockwell" w:cs="Rockwell" w:eastAsia="Rockwell"/>
          <w:color w:val="ffffff"/>
          <w:sz w:val="23"/>
          <w:szCs w:val="23"/>
          <w:highlight w:val="darkMagenta"/>
        </w:rPr>
        <w:t>Ohne Präparate: 36.6</w:t>
      </w:r>
      <w:r>
        <w:rPr>
          <w:rFonts w:ascii="Rockwell" w:hAnsi="Rockwell" w:cs="Rockwell" w:eastAsia="Rockwell"/>
          <w:color w:val="ffffff"/>
          <w:sz w:val="23"/>
          <w:szCs w:val="23"/>
          <w:highlight w:val="darkMagenta"/>
        </w:rPr>
        <w:t xml:space="preserve">
</w:t>
      </w:r>
    </w:p>
    <w:p>
      <w:pPr>
        <w:numPr>
          <w:ilvl w:val="2"/>
          <w:numId w:val="33"/>
        </w:numPr>
        <w:spacing w:after="0" w:before="0" w:line="354" w:lineRule="auto"/>
        <w:jc w:val="start"/>
      </w:pPr>
      <w:r>
        <w:rPr>
          <w:rFonts w:ascii="Rockwell" w:hAnsi="Rockwell" w:cs="Rockwell" w:eastAsia="Rockwell"/>
          <w:color w:val="ffffff"/>
          <w:sz w:val="23"/>
          <w:szCs w:val="23"/>
          <w:highlight w:val="darkMagenta"/>
        </w:rPr>
        <w:t>Mit Präparate: 34.8 (n.s.)</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Interpretation:</w:t>
      </w:r>
      <w:r>
        <w:rPr>
          <w:rFonts w:ascii="Rockwell" w:hAnsi="Rockwell" w:cs="Rockwell" w:eastAsia="Rockwell"/>
          <w:color w:val="ffffff"/>
          <w:sz w:val="23"/>
          <w:szCs w:val="23"/>
          <w:highlight w:val="darkMagenta"/>
        </w:rPr>
        <w:t xml:space="preserve">
</w:t>
      </w:r>
    </w:p>
    <w:p>
      <w:pPr>
        <w:numPr>
          <w:ilvl w:val="0"/>
          <w:numId w:val="34"/>
        </w:numPr>
        <w:spacing w:after="0" w:before="0" w:line="354" w:lineRule="auto"/>
        <w:jc w:val="start"/>
      </w:pPr>
      <w:r>
        <w:rPr>
          <w:rFonts w:ascii="Rockwell" w:hAnsi="Rockwell" w:cs="Rockwell" w:eastAsia="Rockwell"/>
          <w:color w:val="ffffff"/>
          <w:sz w:val="23"/>
          <w:szCs w:val="23"/>
          <w:highlight w:val="darkMagenta"/>
        </w:rPr>
        <w:t>Ähnlich wie bei Chicory hat die Exposition einen signifikanten Effekt auf die Trockenmasse.</w:t>
      </w:r>
      <w:r>
        <w:rPr>
          <w:rFonts w:ascii="Rockwell" w:hAnsi="Rockwell" w:cs="Rockwell" w:eastAsia="Rockwell"/>
          <w:color w:val="ffffff"/>
          <w:sz w:val="23"/>
          <w:szCs w:val="23"/>
          <w:highlight w:val="darkMagenta"/>
        </w:rPr>
        <w:t xml:space="preserve">
</w:t>
      </w:r>
    </w:p>
    <w:p>
      <w:pPr>
        <w:numPr>
          <w:ilvl w:val="0"/>
          <w:numId w:val="34"/>
        </w:numPr>
        <w:spacing w:after="0" w:before="0" w:line="354" w:lineRule="auto"/>
        <w:jc w:val="start"/>
      </w:pPr>
      <w:r>
        <w:rPr>
          <w:rFonts w:ascii="Rockwell" w:hAnsi="Rockwell" w:cs="Rockwell" w:eastAsia="Rockwell"/>
          <w:color w:val="ffffff"/>
          <w:sz w:val="23"/>
          <w:szCs w:val="23"/>
          <w:highlight w:val="darkMagenta"/>
        </w:rPr>
        <w:t>Dünger und Präparate haben keinen signifikanten Einfluss auf die Trockenmasse.</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Gesamtschau und Interpretation</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Die Daten zeigen, dass die Pflanzenparameter (Ertrag, Biomasse, Entwicklung) durch die Behandlungen (Kompost/Mist, Präparate) und die Exposition (Nord/Süd) beeinflusst werden. Insbesondere: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Ertragsdaten der Tomaten:</w:t>
      </w:r>
      <w:r>
        <w:rPr>
          <w:rFonts w:ascii="Rockwell" w:hAnsi="Rockwell" w:cs="Rockwell" w:eastAsia="Rockwell"/>
          <w:color w:val="ffffff"/>
          <w:sz w:val="23"/>
          <w:szCs w:val="23"/>
          <w:highlight w:val="darkMagenta"/>
        </w:rPr>
        <w:t xml:space="preserve">
</w:t>
      </w:r>
    </w:p>
    <w:p>
      <w:pPr>
        <w:numPr>
          <w:ilvl w:val="0"/>
          <w:numId w:val="35"/>
        </w:numPr>
        <w:spacing w:after="0" w:before="0" w:line="354" w:lineRule="auto"/>
        <w:jc w:val="start"/>
      </w:pPr>
      <w:r>
        <w:rPr>
          <w:rFonts w:ascii="Rockwell" w:hAnsi="Rockwell" w:cs="Rockwell" w:eastAsia="Rockwell"/>
          <w:color w:val="ffffff"/>
          <w:sz w:val="23"/>
          <w:szCs w:val="23"/>
          <w:highlight w:val="darkMagenta"/>
        </w:rPr>
        <w:t>Präparate steigern den Ertrag bei Verwendung von Mist (41,006 kg/Beet mit Präparaten vs. 33,658 kg/Beet ohne), aber nicht bei Kompost (36,159 kg/Beet mit Präparaten vs. 36,709 kg/Beet ohne).</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Pflanzenparameter (Chicory und Plantain):</w:t>
      </w:r>
      <w:r>
        <w:rPr>
          <w:rFonts w:ascii="Rockwell" w:hAnsi="Rockwell" w:cs="Rockwell" w:eastAsia="Rockwell"/>
          <w:color w:val="ffffff"/>
          <w:sz w:val="23"/>
          <w:szCs w:val="23"/>
          <w:highlight w:val="darkMagenta"/>
        </w:rPr>
        <w:t xml:space="preserve">
</w:t>
      </w:r>
    </w:p>
    <w:p>
      <w:pPr>
        <w:numPr>
          <w:ilvl w:val="0"/>
          <w:numId w:val="36"/>
        </w:numPr>
        <w:spacing w:after="0" w:before="0" w:line="354" w:lineRule="auto"/>
        <w:jc w:val="start"/>
      </w:pPr>
      <w:r>
        <w:rPr>
          <w:rFonts w:ascii="Rockwell" w:hAnsi="Rockwell" w:cs="Rockwell" w:eastAsia="Rockwell"/>
          <w:color w:val="ffffff"/>
          <w:sz w:val="23"/>
          <w:szCs w:val="23"/>
          <w:highlight w:val="darkMagenta"/>
        </w:rPr>
        <w:t>Die Exposition hat einen signifikanten Einfluss auf die Entwicklung und Biomasse:</w:t>
      </w:r>
      <w:r>
        <w:rPr>
          <w:rFonts w:ascii="Rockwell" w:hAnsi="Rockwell" w:cs="Rockwell" w:eastAsia="Rockwell"/>
          <w:color w:val="ffffff"/>
          <w:sz w:val="23"/>
          <w:szCs w:val="23"/>
          <w:highlight w:val="darkMagenta"/>
        </w:rPr>
        <w:t xml:space="preserve">
</w:t>
      </w:r>
    </w:p>
    <w:p>
      <w:pPr>
        <w:numPr>
          <w:ilvl w:val="1"/>
          <w:numId w:val="36"/>
        </w:numPr>
        <w:spacing w:after="0" w:before="0" w:line="354" w:lineRule="auto"/>
        <w:jc w:val="start"/>
      </w:pPr>
      <w:r>
        <w:rPr>
          <w:rFonts w:ascii="Rockwell Bold" w:hAnsi="Rockwell Bold" w:cs="Rockwell Bold" w:eastAsia="Rockwell Bold"/>
          <w:b/>
          <w:bCs/>
          <w:color w:val="ffffff"/>
          <w:sz w:val="23"/>
          <w:szCs w:val="23"/>
          <w:highlight w:val="darkMagenta"/>
        </w:rPr>
        <w:t>Chicory</w:t>
      </w:r>
      <w:r>
        <w:rPr>
          <w:rFonts w:ascii="Rockwell" w:hAnsi="Rockwell" w:cs="Rockwell" w:eastAsia="Rockwell"/>
          <w:color w:val="ffffff"/>
          <w:sz w:val="23"/>
          <w:szCs w:val="23"/>
          <w:highlight w:val="darkMagenta"/>
        </w:rPr>
        <w:t>: Süd-Exposition führt zu höheren Werten (z. B. Frischmasse Süd: 460.5 g, Nord: 280.2 g).</w:t>
      </w:r>
      <w:r>
        <w:rPr>
          <w:rFonts w:ascii="Rockwell" w:hAnsi="Rockwell" w:cs="Rockwell" w:eastAsia="Rockwell"/>
          <w:color w:val="ffffff"/>
          <w:sz w:val="23"/>
          <w:szCs w:val="23"/>
          <w:highlight w:val="darkMagenta"/>
        </w:rPr>
        <w:t xml:space="preserve">
</w:t>
      </w:r>
    </w:p>
    <w:p>
      <w:pPr>
        <w:numPr>
          <w:ilvl w:val="1"/>
          <w:numId w:val="36"/>
        </w:numPr>
        <w:spacing w:after="0" w:before="0" w:line="354" w:lineRule="auto"/>
        <w:jc w:val="start"/>
      </w:pPr>
      <w:r>
        <w:rPr>
          <w:rFonts w:ascii="Rockwell Bold" w:hAnsi="Rockwell Bold" w:cs="Rockwell Bold" w:eastAsia="Rockwell Bold"/>
          <w:b/>
          <w:bCs/>
          <w:color w:val="ffffff"/>
          <w:sz w:val="23"/>
          <w:szCs w:val="23"/>
          <w:highlight w:val="darkMagenta"/>
        </w:rPr>
        <w:t>Plantain</w:t>
      </w:r>
      <w:r>
        <w:rPr>
          <w:rFonts w:ascii="Rockwell" w:hAnsi="Rockwell" w:cs="Rockwell" w:eastAsia="Rockwell"/>
          <w:color w:val="ffffff"/>
          <w:sz w:val="23"/>
          <w:szCs w:val="23"/>
          <w:highlight w:val="darkMagenta"/>
        </w:rPr>
        <w:t>: Süd-Exposition führt zu höherer Trockenmasse (Süd: 46.3 g, Nord: 25.1 g).</w:t>
      </w:r>
      <w:r>
        <w:rPr>
          <w:rFonts w:ascii="Rockwell" w:hAnsi="Rockwell" w:cs="Rockwell" w:eastAsia="Rockwell"/>
          <w:color w:val="ffffff"/>
          <w:sz w:val="23"/>
          <w:szCs w:val="23"/>
          <w:highlight w:val="darkMagenta"/>
        </w:rPr>
        <w:t xml:space="preserve">
</w:t>
      </w:r>
    </w:p>
    <w:p>
      <w:pPr>
        <w:numPr>
          <w:ilvl w:val="0"/>
          <w:numId w:val="36"/>
        </w:numPr>
        <w:spacing w:after="0" w:before="0" w:line="354" w:lineRule="auto"/>
        <w:jc w:val="start"/>
      </w:pPr>
      <w:r>
        <w:rPr>
          <w:rFonts w:ascii="Rockwell" w:hAnsi="Rockwell" w:cs="Rockwell" w:eastAsia="Rockwell"/>
          <w:color w:val="ffffff"/>
          <w:sz w:val="23"/>
          <w:szCs w:val="23"/>
          <w:highlight w:val="darkMagenta"/>
        </w:rPr>
        <w:t>Präparate haben keinen signifikanten Effekt auf die gemessenen Parameter (viele „n.s.“).</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23"/>
          <w:szCs w:val="23"/>
          <w:highlight w:val="darkMagenta"/>
        </w:rPr>
        <w:t>Bodenanalysen:</w:t>
      </w:r>
      <w:r>
        <w:rPr>
          <w:rFonts w:ascii="Rockwell" w:hAnsi="Rockwell" w:cs="Rockwell" w:eastAsia="Rockwell"/>
          <w:color w:val="ffffff"/>
          <w:sz w:val="23"/>
          <w:szCs w:val="23"/>
          <w:highlight w:val="darkMagenta"/>
        </w:rPr>
        <w:t xml:space="preserve">
</w:t>
      </w:r>
    </w:p>
    <w:p>
      <w:pPr>
        <w:numPr>
          <w:ilvl w:val="0"/>
          <w:numId w:val="37"/>
        </w:numPr>
        <w:spacing w:after="0" w:before="0" w:line="354" w:lineRule="auto"/>
        <w:jc w:val="start"/>
      </w:pPr>
      <w:r>
        <w:rPr>
          <w:rFonts w:ascii="Rockwell" w:hAnsi="Rockwell" w:cs="Rockwell" w:eastAsia="Rockwell"/>
          <w:color w:val="ffffff"/>
          <w:sz w:val="23"/>
          <w:szCs w:val="23"/>
          <w:highlight w:val="darkMagenta"/>
        </w:rPr>
        <w:t>Korrelationen zwischen Enzymen und Biomasse deuten auf mikrobielle Aktivität hin, die möglicherweise den Ertrag beeinflusst (z. B. starke positive Korrelationen zwischen ß-Glucosidase, Alk.Phos. und Biomasse).</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Schlussfolgerungen</w:t>
      </w:r>
      <w:r>
        <w:rPr>
          <w:rFonts w:ascii="Rockwell" w:hAnsi="Rockwell" w:cs="Rockwell" w:eastAsia="Rockwell"/>
          <w:color w:val="ffffff"/>
          <w:sz w:val="23"/>
          <w:szCs w:val="23"/>
          <w:highlight w:val="darkMagenta"/>
        </w:rPr>
        <w:t xml:space="preserve">
</w:t>
      </w:r>
    </w:p>
    <w:p>
      <w:pPr>
        <w:numPr>
          <w:ilvl w:val="0"/>
          <w:numId w:val="38"/>
        </w:numPr>
        <w:spacing w:after="0" w:before="0" w:line="354" w:lineRule="auto"/>
        <w:jc w:val="start"/>
      </w:pPr>
      <w:r>
        <w:rPr>
          <w:rFonts w:ascii="Rockwell Bold" w:hAnsi="Rockwell Bold" w:cs="Rockwell Bold" w:eastAsia="Rockwell Bold"/>
          <w:b/>
          <w:bCs/>
          <w:color w:val="ffffff"/>
          <w:sz w:val="23"/>
          <w:szCs w:val="23"/>
          <w:highlight w:val="darkMagenta"/>
        </w:rPr>
        <w:t>Präparate</w:t>
      </w:r>
      <w:r>
        <w:rPr>
          <w:rFonts w:ascii="Rockwell" w:hAnsi="Rockwell" w:cs="Rockwell" w:eastAsia="Rockwell"/>
          <w:color w:val="ffffff"/>
          <w:sz w:val="23"/>
          <w:szCs w:val="23"/>
          <w:highlight w:val="darkMagenta"/>
        </w:rPr>
        <w:t>: Steigern den Ertrag bei Mist, möglicherweise durch Verbesserung der Nährstoffverfügbarkeit oder mikrobieller Aktivität, aber nicht bei Kompost.</w:t>
      </w:r>
      <w:r>
        <w:rPr>
          <w:rFonts w:ascii="Rockwell" w:hAnsi="Rockwell" w:cs="Rockwell" w:eastAsia="Rockwell"/>
          <w:color w:val="ffffff"/>
          <w:sz w:val="23"/>
          <w:szCs w:val="23"/>
          <w:highlight w:val="darkMagenta"/>
        </w:rPr>
        <w:t xml:space="preserve">
</w:t>
      </w:r>
    </w:p>
    <w:p>
      <w:pPr>
        <w:numPr>
          <w:ilvl w:val="0"/>
          <w:numId w:val="38"/>
        </w:numPr>
        <w:spacing w:after="0" w:before="0" w:line="354" w:lineRule="auto"/>
        <w:jc w:val="start"/>
      </w:pPr>
      <w:r>
        <w:rPr>
          <w:rFonts w:ascii="Rockwell Bold" w:hAnsi="Rockwell Bold" w:cs="Rockwell Bold" w:eastAsia="Rockwell Bold"/>
          <w:b/>
          <w:bCs/>
          <w:color w:val="ffffff"/>
          <w:sz w:val="23"/>
          <w:szCs w:val="23"/>
          <w:highlight w:val="darkMagenta"/>
        </w:rPr>
        <w:t>Exposition</w:t>
      </w:r>
      <w:r>
        <w:rPr>
          <w:rFonts w:ascii="Rockwell" w:hAnsi="Rockwell" w:cs="Rockwell" w:eastAsia="Rockwell"/>
          <w:color w:val="ffffff"/>
          <w:sz w:val="23"/>
          <w:szCs w:val="23"/>
          <w:highlight w:val="darkMagenta"/>
        </w:rPr>
        <w:t>: Hat einen starken Einfluss auf die Pflanzenentwicklung (Nord vs. Süd), was auf Unterschiede in Licht, Temperatur oder anderen Umweltfaktoren hinweist.</w:t>
      </w:r>
      <w:r>
        <w:rPr>
          <w:rFonts w:ascii="Rockwell" w:hAnsi="Rockwell" w:cs="Rockwell" w:eastAsia="Rockwell"/>
          <w:color w:val="ffffff"/>
          <w:sz w:val="23"/>
          <w:szCs w:val="23"/>
          <w:highlight w:val="darkMagenta"/>
        </w:rPr>
        <w:t xml:space="preserve">
</w:t>
      </w:r>
    </w:p>
    <w:p>
      <w:pPr>
        <w:numPr>
          <w:ilvl w:val="0"/>
          <w:numId w:val="38"/>
        </w:numPr>
        <w:spacing w:after="0" w:before="0" w:line="354" w:lineRule="auto"/>
        <w:jc w:val="start"/>
      </w:pPr>
      <w:r>
        <w:rPr>
          <w:rFonts w:ascii="Rockwell Bold" w:hAnsi="Rockwell Bold" w:cs="Rockwell Bold" w:eastAsia="Rockwell Bold"/>
          <w:b/>
          <w:bCs/>
          <w:color w:val="ffffff"/>
          <w:sz w:val="23"/>
          <w:szCs w:val="23"/>
          <w:highlight w:val="darkMagenta"/>
        </w:rPr>
        <w:t>Kompostierung</w:t>
      </w:r>
      <w:r>
        <w:rPr>
          <w:rFonts w:ascii="Rockwell" w:hAnsi="Rockwell" w:cs="Rockwell" w:eastAsia="Rockwell"/>
          <w:color w:val="ffffff"/>
          <w:sz w:val="23"/>
          <w:szCs w:val="23"/>
          <w:highlight w:val="darkMagenta"/>
        </w:rPr>
        <w:t>: Beeinflusst die Bodenqualität und damit die Pflanzenparameter, aber die Effekte hängen von der Art des Düngers und den Behandlungen ab.</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Bold" w:hAnsi="Rockwell Bold" w:cs="Rockwell Bold" w:eastAsia="Rockwell Bold"/>
          <w:b/>
          <w:bCs/>
          <w:color w:val="ffffff"/>
          <w:sz w:val="30"/>
          <w:szCs w:val="30"/>
          <w:highlight w:val="darkMagenta"/>
        </w:rPr>
        <w:t>Empfehlungen</w:t>
      </w:r>
      <w:r>
        <w:rPr>
          <w:rFonts w:ascii="Rockwell" w:hAnsi="Rockwell" w:cs="Rockwell" w:eastAsia="Rockwell"/>
          <w:color w:val="ffffff"/>
          <w:sz w:val="23"/>
          <w:szCs w:val="23"/>
          <w:highlight w:val="darkMagenta"/>
        </w:rPr>
        <w:t xml:space="preserve">
</w:t>
      </w:r>
    </w:p>
    <w:p>
      <w:pPr>
        <w:numPr>
          <w:ilvl w:val="0"/>
          <w:numId w:val="39"/>
        </w:numPr>
        <w:spacing w:after="0" w:before="0" w:line="354" w:lineRule="auto"/>
        <w:jc w:val="start"/>
      </w:pPr>
      <w:r>
        <w:rPr>
          <w:rFonts w:ascii="Rockwell" w:hAnsi="Rockwell" w:cs="Rockwell" w:eastAsia="Rockwell"/>
          <w:color w:val="ffffff"/>
          <w:sz w:val="23"/>
          <w:szCs w:val="23"/>
          <w:highlight w:val="darkMagenta"/>
        </w:rPr>
        <w:t>Führen Sie eine statistische Analyse (z. B. ANOVA) durch, um die Signifikanz der Behandlungseffekte zu bestimmen.</w:t>
      </w:r>
      <w:r>
        <w:rPr>
          <w:rFonts w:ascii="Rockwell" w:hAnsi="Rockwell" w:cs="Rockwell" w:eastAsia="Rockwell"/>
          <w:color w:val="ffffff"/>
          <w:sz w:val="23"/>
          <w:szCs w:val="23"/>
          <w:highlight w:val="darkMagenta"/>
        </w:rPr>
        <w:t xml:space="preserve">
</w:t>
      </w:r>
    </w:p>
    <w:p>
      <w:pPr>
        <w:numPr>
          <w:ilvl w:val="0"/>
          <w:numId w:val="39"/>
        </w:numPr>
        <w:spacing w:after="0" w:before="0" w:line="354" w:lineRule="auto"/>
        <w:jc w:val="start"/>
      </w:pPr>
      <w:r>
        <w:rPr>
          <w:rFonts w:ascii="Rockwell" w:hAnsi="Rockwell" w:cs="Rockwell" w:eastAsia="Rockwell"/>
          <w:color w:val="ffffff"/>
          <w:sz w:val="23"/>
          <w:szCs w:val="23"/>
          <w:highlight w:val="darkMagenta"/>
        </w:rPr>
        <w:t>Untersuchen Sie die Korrelationen zwischen Bodenparametern und Pflanzenparametern, um zu verstehen, welche Bodenfaktoren den Ertrag am stärksten beeinflussen.</w:t>
      </w:r>
      <w:r>
        <w:rPr>
          <w:rFonts w:ascii="Rockwell" w:hAnsi="Rockwell" w:cs="Rockwell" w:eastAsia="Rockwell"/>
          <w:color w:val="ffffff"/>
          <w:sz w:val="23"/>
          <w:szCs w:val="23"/>
          <w:highlight w:val="darkMagenta"/>
        </w:rPr>
        <w:t xml:space="preserve">
</w:t>
      </w:r>
    </w:p>
    <w:p>
      <w:pPr>
        <w:numPr>
          <w:ilvl w:val="0"/>
          <w:numId w:val="39"/>
        </w:numPr>
        <w:spacing w:after="0" w:before="0" w:line="354" w:lineRule="auto"/>
        <w:jc w:val="start"/>
      </w:pPr>
      <w:r>
        <w:rPr>
          <w:rFonts w:ascii="Rockwell" w:hAnsi="Rockwell" w:cs="Rockwell" w:eastAsia="Rockwell"/>
          <w:color w:val="ffffff"/>
          <w:sz w:val="23"/>
          <w:szCs w:val="23"/>
          <w:highlight w:val="darkMagenta"/>
        </w:rPr>
        <w:t>Berücksichtigen Sie die Exposition in zukünftigen Experimenten, da sie einen signifikanten Einfluss hat.</w:t>
      </w: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Falls Sie weitere spezifische Analysen oder Dateninterpretationen benötigen, teilen Sie mir bitte die Details mit. Ich stehe Ihnen gerne zur Verfügung!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 
</w:t>
      </w:r>
    </w:p>
    <w:p>
      <w:pPr>
        <w:spacing w:after="120" w:before="120" w:line="360" w:lineRule="auto"/>
        <w:ind w:firstLine="0" w:start="0"/>
        <w:jc w:val="start"/>
      </w:pPr>
      <w:r>
        <w:rPr>
          <w:rFonts w:ascii="Rockwell" w:hAnsi="Rockwell" w:cs="Rockwell" w:eastAsia="Rockwell"/>
          <w:color w:val="ffffff"/>
          <w:sz w:val="23"/>
          <w:szCs w:val="23"/>
          <w:highlight w:val="darkMagenta"/>
        </w:rPr>
        <w:t>Dazu die passenden Bilder, Tabellen, Graphiken und Darstellungen:</w:t>
      </w:r>
      <w:r>
        <w:rPr>
          <w:rFonts w:ascii="Rockwell" w:hAnsi="Rockwell" w:cs="Rockwell" w:eastAsia="Rockwell"/>
          <w:color w:val="ffffff"/>
          <w:sz w:val="23"/>
          <w:szCs w:val="23"/>
          <w:highlight w:val="darkMagenta"/>
        </w:rPr>
        <w:t xml:space="preserve">
</w:t>
      </w:r>
    </w:p>
    <w:p>
      <w:pPr>
        <w:spacing w:after="120" w:before="120"/>
        <w:jc w:val="center"/>
      </w:pPr>
      <w:r>
        <w:drawing>
          <wp:inline>
            <wp:extent cx="5734050" cy="1379755"/>
            <wp:docPr id="0" name="Drawing 0" descr="59701b7b0dfc80fdc297a6a92f14d529.jpg"/>
            <wp:cNvGraphicFramePr>
              <a:graphicFrameLocks noChangeAspect="true"/>
            </wp:cNvGraphicFramePr>
            <a:graphic>
              <a:graphicData uri="http://schemas.openxmlformats.org/drawingml/2006/picture">
                <pic:pic xmlns:pic="http://schemas.openxmlformats.org/drawingml/2006/picture">
                  <pic:nvPicPr>
                    <pic:cNvPr id="0" name="Picture 0" descr="59701b7b0dfc80fdc297a6a92f14d529.jpg"/>
                    <pic:cNvPicPr>
                      <a:picLocks noChangeAspect="true"/>
                    </pic:cNvPicPr>
                  </pic:nvPicPr>
                  <pic:blipFill>
                    <a:blip r:embed="rId36"/>
                    <a:stretch>
                      <a:fillRect/>
                    </a:stretch>
                  </pic:blipFill>
                  <pic:spPr>
                    <a:xfrm flipH="false" flipV="false">
                      <a:off x="0" y="0"/>
                      <a:ext cx="5734050" cy="1379755"/>
                    </a:xfrm>
                    <a:prstGeom prst="rect">
                      <a:avLst/>
                    </a:prstGeom>
                  </pic:spPr>
                </pic:pic>
              </a:graphicData>
            </a:graphic>
          </wp:inline>
        </w:drawing>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
</w:t>
      </w:r>
    </w:p>
    <w:p>
      <w:pPr>
        <w:spacing w:after="120" w:before="120"/>
        <w:jc w:val="center"/>
      </w:pPr>
      <w:r>
        <w:drawing>
          <wp:inline>
            <wp:extent cx="5734050" cy="4020116"/>
            <wp:docPr id="1" name="Drawing 1" descr="b78e150db729e06c6ea15666746d8425.png"/>
            <wp:cNvGraphicFramePr>
              <a:graphicFrameLocks noChangeAspect="true"/>
            </wp:cNvGraphicFramePr>
            <a:graphic>
              <a:graphicData uri="http://schemas.openxmlformats.org/drawingml/2006/picture">
                <pic:pic xmlns:pic="http://schemas.openxmlformats.org/drawingml/2006/picture">
                  <pic:nvPicPr>
                    <pic:cNvPr id="0" name="Picture 1" descr="b78e150db729e06c6ea15666746d8425.png"/>
                    <pic:cNvPicPr>
                      <a:picLocks noChangeAspect="true"/>
                    </pic:cNvPicPr>
                  </pic:nvPicPr>
                  <pic:blipFill>
                    <a:blip r:embed="rId37"/>
                    <a:stretch>
                      <a:fillRect/>
                    </a:stretch>
                  </pic:blipFill>
                  <pic:spPr>
                    <a:xfrm flipH="false" flipV="false">
                      <a:off x="0" y="0"/>
                      <a:ext cx="5734050" cy="4020116"/>
                    </a:xfrm>
                    <a:prstGeom prst="rect">
                      <a:avLst/>
                    </a:prstGeom>
                  </pic:spPr>
                </pic:pic>
              </a:graphicData>
            </a:graphic>
          </wp:inline>
        </w:drawing>
      </w:r>
    </w:p>
    <w:p>
      <w:pPr>
        <w:spacing w:after="120" w:before="120" w:line="360" w:lineRule="auto"/>
        <w:ind w:firstLine="0" w:start="0"/>
        <w:jc w:val="start"/>
      </w:pPr>
      <w:r>
        <w:rPr>
          <w:rFonts w:ascii="Rockwell" w:hAnsi="Rockwell" w:cs="Rockwell" w:eastAsia="Rockwell"/>
          <w:color w:val="ffffff"/>
          <w:sz w:val="23"/>
          <w:szCs w:val="23"/>
          <w:highlight w:val="darkMagenta"/>
        </w:rPr>
        <w:t xml:space="preserve"> 
</w:t>
      </w:r>
    </w:p>
    <w:p>
      <w:pPr>
        <w:spacing w:after="120" w:before="120"/>
        <w:jc w:val="center"/>
      </w:pPr>
      <w:r>
        <w:drawing>
          <wp:inline>
            <wp:extent cx="5734050" cy="3613446"/>
            <wp:docPr id="2" name="Drawing 2" descr="32555b8287184231c3c842499e7a185e.png"/>
            <wp:cNvGraphicFramePr>
              <a:graphicFrameLocks noChangeAspect="true"/>
            </wp:cNvGraphicFramePr>
            <a:graphic>
              <a:graphicData uri="http://schemas.openxmlformats.org/drawingml/2006/picture">
                <pic:pic xmlns:pic="http://schemas.openxmlformats.org/drawingml/2006/picture">
                  <pic:nvPicPr>
                    <pic:cNvPr id="0" name="Picture 2" descr="32555b8287184231c3c842499e7a185e.png"/>
                    <pic:cNvPicPr>
                      <a:picLocks noChangeAspect="true"/>
                    </pic:cNvPicPr>
                  </pic:nvPicPr>
                  <pic:blipFill>
                    <a:blip r:embed="rId38"/>
                    <a:stretch>
                      <a:fillRect/>
                    </a:stretch>
                  </pic:blipFill>
                  <pic:spPr>
                    <a:xfrm flipH="false" flipV="false">
                      <a:off x="0" y="0"/>
                      <a:ext cx="5734050" cy="3613446"/>
                    </a:xfrm>
                    <a:prstGeom prst="rect">
                      <a:avLst/>
                    </a:prstGeom>
                  </pic:spPr>
                </pic:pic>
              </a:graphicData>
            </a:graphic>
          </wp:inline>
        </w:drawing>
      </w:r>
    </w:p>
    <w:p>
      <w:pPr>
        <w:spacing w:after="120" w:before="120"/>
        <w:jc w:val="center"/>
      </w:pPr>
      <w:r>
        <w:drawing>
          <wp:inline>
            <wp:extent cx="5734050" cy="5203523"/>
            <wp:docPr id="3" name="Drawing 3" descr="e53154ae14c757186ce2a4c6b95fdd31.png"/>
            <wp:cNvGraphicFramePr>
              <a:graphicFrameLocks noChangeAspect="true"/>
            </wp:cNvGraphicFramePr>
            <a:graphic>
              <a:graphicData uri="http://schemas.openxmlformats.org/drawingml/2006/picture">
                <pic:pic xmlns:pic="http://schemas.openxmlformats.org/drawingml/2006/picture">
                  <pic:nvPicPr>
                    <pic:cNvPr id="0" name="Picture 3" descr="e53154ae14c757186ce2a4c6b95fdd31.png"/>
                    <pic:cNvPicPr>
                      <a:picLocks noChangeAspect="true"/>
                    </pic:cNvPicPr>
                  </pic:nvPicPr>
                  <pic:blipFill>
                    <a:blip r:embed="rId39"/>
                    <a:stretch>
                      <a:fillRect/>
                    </a:stretch>
                  </pic:blipFill>
                  <pic:spPr>
                    <a:xfrm flipH="false" flipV="false">
                      <a:off x="0" y="0"/>
                      <a:ext cx="5734050" cy="5203523"/>
                    </a:xfrm>
                    <a:prstGeom prst="rect">
                      <a:avLst/>
                    </a:prstGeom>
                  </pic:spPr>
                </pic:pic>
              </a:graphicData>
            </a:graphic>
          </wp:inline>
        </w:drawing>
      </w:r>
    </w:p>
    <w:p>
      <w:pPr>
        <w:spacing w:after="120" w:before="120"/>
        <w:jc w:val="center"/>
      </w:pPr>
      <w:r>
        <w:drawing>
          <wp:inline>
            <wp:extent cx="5734050" cy="4335884"/>
            <wp:docPr id="4" name="Drawing 4" descr="fd4b097f69bd1dd299d5811433542c91.png"/>
            <wp:cNvGraphicFramePr>
              <a:graphicFrameLocks noChangeAspect="true"/>
            </wp:cNvGraphicFramePr>
            <a:graphic>
              <a:graphicData uri="http://schemas.openxmlformats.org/drawingml/2006/picture">
                <pic:pic xmlns:pic="http://schemas.openxmlformats.org/drawingml/2006/picture">
                  <pic:nvPicPr>
                    <pic:cNvPr id="0" name="Picture 4" descr="fd4b097f69bd1dd299d5811433542c91.png"/>
                    <pic:cNvPicPr>
                      <a:picLocks noChangeAspect="true"/>
                    </pic:cNvPicPr>
                  </pic:nvPicPr>
                  <pic:blipFill>
                    <a:blip r:embed="rId40"/>
                    <a:srcRect l="0" t="22709" r="0" b="22709"/>
                    <a:stretch>
                      <a:fillRect/>
                    </a:stretch>
                  </pic:blipFill>
                  <pic:spPr>
                    <a:xfrm flipH="false" flipV="false">
                      <a:off x="0" y="0"/>
                      <a:ext cx="5734050" cy="4335884"/>
                    </a:xfrm>
                    <a:prstGeom prst="rect">
                      <a:avLst/>
                    </a:prstGeom>
                  </pic:spPr>
                </pic:pic>
              </a:graphicData>
            </a:graphic>
          </wp:inline>
        </w:drawing>
      </w:r>
    </w:p>
    <w:p>
      <w:pPr>
        <w:spacing w:after="120" w:before="120" w:line="336" w:lineRule="auto"/>
        <w:ind w:firstLine="0" w:start="0"/>
        <w:jc w:val="start"/>
      </w:pPr>
      <w:r>
        <w:rPr>
          <w:rFonts w:ascii="Rockwell" w:hAnsi="Rockwell" w:cs="Rockwell" w:eastAsia="Rockwell"/>
          <w:color w:val="000000"/>
          <w:sz w:val="64"/>
          <w:szCs w:val="64"/>
        </w:rPr>
        <w:t xml:space="preserve">
</w:t>
      </w:r>
    </w:p>
    <w:p>
      <w:pPr>
        <w:spacing w:after="120" w:before="120"/>
        <w:jc w:val="center"/>
      </w:pPr>
      <w:r>
        <w:drawing>
          <wp:inline>
            <wp:extent cx="5734050" cy="5654309"/>
            <wp:docPr id="5" name="Drawing 5" descr="70dcae4d088e4e16e3e3903f1eb14266.png"/>
            <wp:cNvGraphicFramePr>
              <a:graphicFrameLocks noChangeAspect="true"/>
            </wp:cNvGraphicFramePr>
            <a:graphic>
              <a:graphicData uri="http://schemas.openxmlformats.org/drawingml/2006/picture">
                <pic:pic xmlns:pic="http://schemas.openxmlformats.org/drawingml/2006/picture">
                  <pic:nvPicPr>
                    <pic:cNvPr id="0" name="Picture 5" descr="70dcae4d088e4e16e3e3903f1eb14266.png"/>
                    <pic:cNvPicPr>
                      <a:picLocks noChangeAspect="true"/>
                    </pic:cNvPicPr>
                  </pic:nvPicPr>
                  <pic:blipFill>
                    <a:blip r:embed="rId41"/>
                    <a:stretch>
                      <a:fillRect/>
                    </a:stretch>
                  </pic:blipFill>
                  <pic:spPr>
                    <a:xfrm flipH="false" flipV="false">
                      <a:off x="0" y="0"/>
                      <a:ext cx="5734050" cy="5654309"/>
                    </a:xfrm>
                    <a:prstGeom prst="rect">
                      <a:avLst/>
                    </a:prstGeom>
                  </pic:spPr>
                </pic:pic>
              </a:graphicData>
            </a:graphic>
          </wp:inline>
        </w:drawing>
      </w:r>
    </w:p>
    <w:p>
      <w:pPr>
        <w:spacing w:after="120" w:before="120" w:line="336" w:lineRule="auto"/>
        <w:ind w:firstLine="0" w:start="0"/>
        <w:jc w:val="start"/>
      </w:pPr>
      <w:r>
        <w:rPr>
          <w:rFonts w:ascii="Rockwell" w:hAnsi="Rockwell" w:cs="Rockwell" w:eastAsia="Rockwell"/>
          <w:color w:val="000000"/>
          <w:sz w:val="64"/>
          <w:szCs w:val="64"/>
        </w:rPr>
        <w:t xml:space="preserve">
</w:t>
      </w:r>
    </w:p>
    <w:p>
      <w:pPr>
        <w:spacing w:after="120" w:before="120"/>
        <w:jc w:val="center"/>
      </w:pPr>
      <w:r>
        <w:drawing>
          <wp:inline>
            <wp:extent cx="5734050" cy="4002442"/>
            <wp:docPr id="6" name="Drawing 6" descr="7c1faa2f0f390af58139489a3b526929.png"/>
            <wp:cNvGraphicFramePr>
              <a:graphicFrameLocks noChangeAspect="true"/>
            </wp:cNvGraphicFramePr>
            <a:graphic>
              <a:graphicData uri="http://schemas.openxmlformats.org/drawingml/2006/picture">
                <pic:pic xmlns:pic="http://schemas.openxmlformats.org/drawingml/2006/picture">
                  <pic:nvPicPr>
                    <pic:cNvPr id="0" name="Picture 6" descr="7c1faa2f0f390af58139489a3b526929.png"/>
                    <pic:cNvPicPr>
                      <a:picLocks noChangeAspect="true"/>
                    </pic:cNvPicPr>
                  </pic:nvPicPr>
                  <pic:blipFill>
                    <a:blip r:embed="rId42"/>
                    <a:stretch>
                      <a:fillRect/>
                    </a:stretch>
                  </pic:blipFill>
                  <pic:spPr>
                    <a:xfrm flipH="false" flipV="false">
                      <a:off x="0" y="0"/>
                      <a:ext cx="5734050" cy="4002442"/>
                    </a:xfrm>
                    <a:prstGeom prst="rect">
                      <a:avLst/>
                    </a:prstGeom>
                  </pic:spPr>
                </pic:pic>
              </a:graphicData>
            </a:graphic>
          </wp:inline>
        </w:drawing>
      </w:r>
    </w:p>
    <w:p>
      <w:pPr>
        <w:spacing w:after="120" w:before="120"/>
        <w:jc w:val="center"/>
      </w:pPr>
      <w:r>
        <w:drawing>
          <wp:inline>
            <wp:extent cx="5734050" cy="4335884"/>
            <wp:docPr id="7" name="Drawing 7" descr="06b3730d4f65e201c12d7e25c609f05d.png"/>
            <wp:cNvGraphicFramePr>
              <a:graphicFrameLocks noChangeAspect="true"/>
            </wp:cNvGraphicFramePr>
            <a:graphic>
              <a:graphicData uri="http://schemas.openxmlformats.org/drawingml/2006/picture">
                <pic:pic xmlns:pic="http://schemas.openxmlformats.org/drawingml/2006/picture">
                  <pic:nvPicPr>
                    <pic:cNvPr id="0" name="Picture 7" descr="06b3730d4f65e201c12d7e25c609f05d.png"/>
                    <pic:cNvPicPr>
                      <a:picLocks noChangeAspect="true"/>
                    </pic:cNvPicPr>
                  </pic:nvPicPr>
                  <pic:blipFill>
                    <a:blip r:embed="rId43"/>
                    <a:stretch>
                      <a:fillRect/>
                    </a:stretch>
                  </pic:blipFill>
                  <pic:spPr>
                    <a:xfrm flipH="false" flipV="false">
                      <a:off x="0" y="0"/>
                      <a:ext cx="5734050" cy="4335884"/>
                    </a:xfrm>
                    <a:prstGeom prst="rect">
                      <a:avLst/>
                    </a:prstGeom>
                  </pic:spPr>
                </pic:pic>
              </a:graphicData>
            </a:graphic>
          </wp:inline>
        </w:drawing>
      </w:r>
    </w:p>
    <w:p>
      <w:pPr>
        <w:spacing w:after="120" w:before="120"/>
        <w:jc w:val="center"/>
      </w:pPr>
      <w:r>
        <w:drawing>
          <wp:inline>
            <wp:extent cx="5734050" cy="4335884"/>
            <wp:docPr id="8" name="Drawing 8" descr="06b3730d4f65e201c12d7e25c609f05d.png"/>
            <wp:cNvGraphicFramePr>
              <a:graphicFrameLocks noChangeAspect="true"/>
            </wp:cNvGraphicFramePr>
            <a:graphic>
              <a:graphicData uri="http://schemas.openxmlformats.org/drawingml/2006/picture">
                <pic:pic xmlns:pic="http://schemas.openxmlformats.org/drawingml/2006/picture">
                  <pic:nvPicPr>
                    <pic:cNvPr id="0" name="Picture 8" descr="06b3730d4f65e201c12d7e25c609f05d.png"/>
                    <pic:cNvPicPr>
                      <a:picLocks noChangeAspect="true"/>
                    </pic:cNvPicPr>
                  </pic:nvPicPr>
                  <pic:blipFill>
                    <a:blip r:embed="rId43"/>
                    <a:stretch>
                      <a:fillRect/>
                    </a:stretch>
                  </pic:blipFill>
                  <pic:spPr>
                    <a:xfrm flipH="false" flipV="false">
                      <a:off x="0" y="0"/>
                      <a:ext cx="5734050" cy="4335884"/>
                    </a:xfrm>
                    <a:prstGeom prst="rect">
                      <a:avLst/>
                    </a:prstGeom>
                  </pic:spPr>
                </pic:pic>
              </a:graphicData>
            </a:graphic>
          </wp:inline>
        </w:drawing>
      </w:r>
    </w:p>
    <w:p>
      <w:pPr>
        <w:spacing w:after="120" w:before="120" w:line="336" w:lineRule="auto"/>
        <w:ind w:firstLine="0" w:start="0"/>
        <w:jc w:val="start"/>
      </w:pPr>
      <w:r>
        <w:rPr>
          <w:rFonts w:ascii="Rockwell" w:hAnsi="Rockwell" w:cs="Rockwell" w:eastAsia="Rockwell"/>
          <w:color w:val="000000"/>
          <w:sz w:val="64"/>
          <w:szCs w:val="64"/>
        </w:rPr>
        <w:t xml:space="preserve">
</w:t>
      </w:r>
    </w:p>
    <w:p>
      <w:pPr>
        <w:spacing w:after="120" w:before="120"/>
        <w:jc w:val="center"/>
      </w:pPr>
      <w:r>
        <w:drawing>
          <wp:inline>
            <wp:extent cx="5734050" cy="2671284"/>
            <wp:docPr id="9" name="Drawing 9" descr="1bc34f0ed2337c68519a0a8b78315278.png"/>
            <wp:cNvGraphicFramePr>
              <a:graphicFrameLocks noChangeAspect="true"/>
            </wp:cNvGraphicFramePr>
            <a:graphic>
              <a:graphicData uri="http://schemas.openxmlformats.org/drawingml/2006/picture">
                <pic:pic xmlns:pic="http://schemas.openxmlformats.org/drawingml/2006/picture">
                  <pic:nvPicPr>
                    <pic:cNvPr id="0" name="Picture 9" descr="1bc34f0ed2337c68519a0a8b78315278.png"/>
                    <pic:cNvPicPr>
                      <a:picLocks noChangeAspect="true"/>
                    </pic:cNvPicPr>
                  </pic:nvPicPr>
                  <pic:blipFill>
                    <a:blip r:embed="rId44"/>
                    <a:stretch>
                      <a:fillRect/>
                    </a:stretch>
                  </pic:blipFill>
                  <pic:spPr>
                    <a:xfrm flipH="false" flipV="false">
                      <a:off x="0" y="0"/>
                      <a:ext cx="5734050" cy="2671284"/>
                    </a:xfrm>
                    <a:prstGeom prst="rect">
                      <a:avLst/>
                    </a:prstGeom>
                  </pic:spPr>
                </pic:pic>
              </a:graphicData>
            </a:graphic>
          </wp:inline>
        </w:drawing>
      </w:r>
    </w:p>
    <w:p>
      <w:pPr>
        <w:spacing w:after="120" w:before="120"/>
        <w:jc w:val="center"/>
      </w:pPr>
      <w:r>
        <w:drawing>
          <wp:inline>
            <wp:extent cx="3428945" cy="4294066"/>
            <wp:docPr id="10" name="Drawing 10" descr="00584b4a99353c6ec1e34890cc6bcd47.png"/>
            <wp:cNvGraphicFramePr>
              <a:graphicFrameLocks noChangeAspect="true"/>
            </wp:cNvGraphicFramePr>
            <a:graphic>
              <a:graphicData uri="http://schemas.openxmlformats.org/drawingml/2006/picture">
                <pic:pic xmlns:pic="http://schemas.openxmlformats.org/drawingml/2006/picture">
                  <pic:nvPicPr>
                    <pic:cNvPr id="0" name="Picture 10" descr="00584b4a99353c6ec1e34890cc6bcd47.png"/>
                    <pic:cNvPicPr>
                      <a:picLocks noChangeAspect="true"/>
                    </pic:cNvPicPr>
                  </pic:nvPicPr>
                  <pic:blipFill>
                    <a:blip r:embed="rId45"/>
                    <a:stretch>
                      <a:fillRect/>
                    </a:stretch>
                  </pic:blipFill>
                  <pic:spPr>
                    <a:xfrm flipH="false" flipV="false">
                      <a:off x="0" y="0"/>
                      <a:ext cx="3428945" cy="4294066"/>
                    </a:xfrm>
                    <a:prstGeom prst="rect">
                      <a:avLst/>
                    </a:prstGeom>
                  </pic:spPr>
                </pic:pic>
              </a:graphicData>
            </a:graphic>
          </wp:inline>
        </w:drawing>
      </w:r>
    </w:p>
    <w:p>
      <w:pPr>
        <w:spacing w:after="120" w:before="120"/>
        <w:jc w:val="center"/>
      </w:pPr>
      <w:r>
        <w:drawing>
          <wp:inline>
            <wp:extent cx="5734050" cy="4419235"/>
            <wp:docPr id="11" name="Drawing 11" descr="201c7cde5b2ae77d1e9f013d1d9172b9.png"/>
            <wp:cNvGraphicFramePr>
              <a:graphicFrameLocks noChangeAspect="true"/>
            </wp:cNvGraphicFramePr>
            <a:graphic>
              <a:graphicData uri="http://schemas.openxmlformats.org/drawingml/2006/picture">
                <pic:pic xmlns:pic="http://schemas.openxmlformats.org/drawingml/2006/picture">
                  <pic:nvPicPr>
                    <pic:cNvPr id="0" name="Picture 11" descr="201c7cde5b2ae77d1e9f013d1d9172b9.png"/>
                    <pic:cNvPicPr>
                      <a:picLocks noChangeAspect="true"/>
                    </pic:cNvPicPr>
                  </pic:nvPicPr>
                  <pic:blipFill>
                    <a:blip r:embed="rId46"/>
                    <a:stretch>
                      <a:fillRect/>
                    </a:stretch>
                  </pic:blipFill>
                  <pic:spPr>
                    <a:xfrm flipH="false" flipV="false">
                      <a:off x="0" y="0"/>
                      <a:ext cx="5734050" cy="4419235"/>
                    </a:xfrm>
                    <a:prstGeom prst="rect">
                      <a:avLst/>
                    </a:prstGeom>
                  </pic:spPr>
                </pic:pic>
              </a:graphicData>
            </a:graphic>
          </wp:inline>
        </w:drawing>
      </w:r>
    </w:p>
    <w:p>
      <w:pPr>
        <w:spacing w:after="120" w:before="120" w:line="336" w:lineRule="auto"/>
        <w:ind w:firstLine="0" w:start="0"/>
        <w:jc w:val="start"/>
      </w:pPr>
      <w:r>
        <w:rPr>
          <w:rFonts w:ascii="Rockwell" w:hAnsi="Rockwell" w:cs="Rockwell" w:eastAsia="Rockwell"/>
          <w:color w:val="000000"/>
          <w:sz w:val="64"/>
          <w:szCs w:val="64"/>
        </w:rPr>
        <w:t xml:space="preserve">
</w:t>
      </w:r>
    </w:p>
    <w:p>
      <w:pPr>
        <w:spacing w:after="120" w:before="120"/>
        <w:jc w:val="center"/>
      </w:pPr>
      <w:r>
        <w:drawing>
          <wp:inline>
            <wp:extent cx="5734050" cy="2424322"/>
            <wp:docPr id="12" name="Drawing 12" descr="a1bcda27a5ff30d042d32c0641e89c44.png"/>
            <wp:cNvGraphicFramePr>
              <a:graphicFrameLocks noChangeAspect="true"/>
            </wp:cNvGraphicFramePr>
            <a:graphic>
              <a:graphicData uri="http://schemas.openxmlformats.org/drawingml/2006/picture">
                <pic:pic xmlns:pic="http://schemas.openxmlformats.org/drawingml/2006/picture">
                  <pic:nvPicPr>
                    <pic:cNvPr id="0" name="Picture 12" descr="a1bcda27a5ff30d042d32c0641e89c44.png"/>
                    <pic:cNvPicPr>
                      <a:picLocks noChangeAspect="true"/>
                    </pic:cNvPicPr>
                  </pic:nvPicPr>
                  <pic:blipFill>
                    <a:blip r:embed="rId47"/>
                    <a:stretch>
                      <a:fillRect/>
                    </a:stretch>
                  </pic:blipFill>
                  <pic:spPr>
                    <a:xfrm flipH="false" flipV="false">
                      <a:off x="0" y="0"/>
                      <a:ext cx="5734050" cy="2424322"/>
                    </a:xfrm>
                    <a:prstGeom prst="rect">
                      <a:avLst/>
                    </a:prstGeom>
                  </pic:spPr>
                </pic:pic>
              </a:graphicData>
            </a:graphic>
          </wp:inline>
        </w:drawing>
      </w:r>
    </w:p>
    <w:p>
      <w:pPr>
        <w:spacing w:after="120" w:before="120"/>
        <w:jc w:val="center"/>
      </w:pPr>
      <w:r>
        <w:drawing>
          <wp:inline>
            <wp:extent cx="5734050" cy="2790848"/>
            <wp:docPr id="13" name="Drawing 13" descr="f938e060223849ea77982d3e2cef397b.png"/>
            <wp:cNvGraphicFramePr>
              <a:graphicFrameLocks noChangeAspect="true"/>
            </wp:cNvGraphicFramePr>
            <a:graphic>
              <a:graphicData uri="http://schemas.openxmlformats.org/drawingml/2006/picture">
                <pic:pic xmlns:pic="http://schemas.openxmlformats.org/drawingml/2006/picture">
                  <pic:nvPicPr>
                    <pic:cNvPr id="0" name="Picture 13" descr="f938e060223849ea77982d3e2cef397b.png"/>
                    <pic:cNvPicPr>
                      <a:picLocks noChangeAspect="true"/>
                    </pic:cNvPicPr>
                  </pic:nvPicPr>
                  <pic:blipFill>
                    <a:blip r:embed="rId48"/>
                    <a:stretch>
                      <a:fillRect/>
                    </a:stretch>
                  </pic:blipFill>
                  <pic:spPr>
                    <a:xfrm flipH="false" flipV="false">
                      <a:off x="0" y="0"/>
                      <a:ext cx="5734050" cy="2790848"/>
                    </a:xfrm>
                    <a:prstGeom prst="rect">
                      <a:avLst/>
                    </a:prstGeom>
                  </pic:spPr>
                </pic:pic>
              </a:graphicData>
            </a:graphic>
          </wp:inline>
        </w:drawing>
      </w:r>
    </w:p>
    <w:p>
      <w:pPr>
        <w:spacing w:after="120" w:before="120"/>
        <w:jc w:val="center"/>
      </w:pPr>
      <w:r>
        <w:drawing>
          <wp:inline>
            <wp:extent cx="5734050" cy="3366658"/>
            <wp:docPr id="14" name="Drawing 14" descr="659747d0ecd51c0321ae78cbf2ace2a4.png"/>
            <wp:cNvGraphicFramePr>
              <a:graphicFrameLocks noChangeAspect="true"/>
            </wp:cNvGraphicFramePr>
            <a:graphic>
              <a:graphicData uri="http://schemas.openxmlformats.org/drawingml/2006/picture">
                <pic:pic xmlns:pic="http://schemas.openxmlformats.org/drawingml/2006/picture">
                  <pic:nvPicPr>
                    <pic:cNvPr id="0" name="Picture 14" descr="659747d0ecd51c0321ae78cbf2ace2a4.png"/>
                    <pic:cNvPicPr>
                      <a:picLocks noChangeAspect="true"/>
                    </pic:cNvPicPr>
                  </pic:nvPicPr>
                  <pic:blipFill>
                    <a:blip r:embed="rId49"/>
                    <a:stretch>
                      <a:fillRect/>
                    </a:stretch>
                  </pic:blipFill>
                  <pic:spPr>
                    <a:xfrm flipH="false" flipV="false">
                      <a:off x="0" y="0"/>
                      <a:ext cx="5734050" cy="3366658"/>
                    </a:xfrm>
                    <a:prstGeom prst="rect">
                      <a:avLst/>
                    </a:prstGeom>
                  </pic:spPr>
                </pic:pic>
              </a:graphicData>
            </a:graphic>
          </wp:inline>
        </w:drawing>
      </w:r>
    </w:p>
    <w:p>
      <w:pPr>
        <w:spacing w:after="120" w:before="120" w:line="336" w:lineRule="auto"/>
        <w:ind w:firstLine="0" w:start="0"/>
        <w:jc w:val="start"/>
      </w:pPr>
      <w:r>
        <w:rPr>
          <w:rFonts w:ascii="Rockwell" w:hAnsi="Rockwell" w:cs="Rockwell" w:eastAsia="Rockwell"/>
          <w:color w:val="000000"/>
          <w:sz w:val="23"/>
          <w:szCs w:val="23"/>
        </w:rPr>
        <w:t xml:space="preserve">
</w:t>
      </w:r>
    </w:p>
    <w:p>
      <w:pPr>
        <w:spacing w:after="120" w:before="120"/>
        <w:jc w:val="center"/>
      </w:pPr>
      <w:r>
        <w:drawing>
          <wp:inline>
            <wp:extent cx="5734050" cy="2197694"/>
            <wp:docPr id="15" name="Drawing 15" descr="d0ea613cef5f64e9122797a454122f08.png"/>
            <wp:cNvGraphicFramePr>
              <a:graphicFrameLocks noChangeAspect="true"/>
            </wp:cNvGraphicFramePr>
            <a:graphic>
              <a:graphicData uri="http://schemas.openxmlformats.org/drawingml/2006/picture">
                <pic:pic xmlns:pic="http://schemas.openxmlformats.org/drawingml/2006/picture">
                  <pic:nvPicPr>
                    <pic:cNvPr id="0" name="Picture 15" descr="d0ea613cef5f64e9122797a454122f08.png"/>
                    <pic:cNvPicPr>
                      <a:picLocks noChangeAspect="true"/>
                    </pic:cNvPicPr>
                  </pic:nvPicPr>
                  <pic:blipFill>
                    <a:blip r:embed="rId50"/>
                    <a:stretch>
                      <a:fillRect/>
                    </a:stretch>
                  </pic:blipFill>
                  <pic:spPr>
                    <a:xfrm flipH="false" flipV="false">
                      <a:off x="0" y="0"/>
                      <a:ext cx="5734050" cy="2197694"/>
                    </a:xfrm>
                    <a:prstGeom prst="rect">
                      <a:avLst/>
                    </a:prstGeom>
                  </pic:spPr>
                </pic:pic>
              </a:graphicData>
            </a:graphic>
          </wp:inline>
        </w:drawing>
      </w:r>
    </w:p>
    <w:p>
      <w:pPr>
        <w:spacing w:after="120" w:before="120" w:line="336" w:lineRule="auto"/>
        <w:ind w:firstLine="0" w:start="0"/>
        <w:jc w:val="start"/>
      </w:pPr>
      <w:r>
        <w:rPr>
          <w:rFonts w:ascii="Rockwell" w:hAnsi="Rockwell" w:cs="Rockwell" w:eastAsia="Rockwell"/>
          <w:color w:val="000000"/>
          <w:sz w:val="23"/>
          <w:szCs w:val="23"/>
        </w:rPr>
        <w:t xml:space="preserve">
</w:t>
      </w:r>
    </w:p>
    <w:p>
      <w:pPr>
        <w:spacing w:after="120" w:before="120"/>
        <w:jc w:val="center"/>
      </w:pPr>
      <w:r>
        <w:drawing>
          <wp:inline>
            <wp:extent cx="5734050" cy="2032040"/>
            <wp:docPr id="16" name="Drawing 16" descr="330903120a18e840c9a28b48c5f8af46.png"/>
            <wp:cNvGraphicFramePr>
              <a:graphicFrameLocks noChangeAspect="true"/>
            </wp:cNvGraphicFramePr>
            <a:graphic>
              <a:graphicData uri="http://schemas.openxmlformats.org/drawingml/2006/picture">
                <pic:pic xmlns:pic="http://schemas.openxmlformats.org/drawingml/2006/picture">
                  <pic:nvPicPr>
                    <pic:cNvPr id="0" name="Picture 16" descr="330903120a18e840c9a28b48c5f8af46.png"/>
                    <pic:cNvPicPr>
                      <a:picLocks noChangeAspect="true"/>
                    </pic:cNvPicPr>
                  </pic:nvPicPr>
                  <pic:blipFill>
                    <a:blip r:embed="rId51"/>
                    <a:stretch>
                      <a:fillRect/>
                    </a:stretch>
                  </pic:blipFill>
                  <pic:spPr>
                    <a:xfrm flipH="false" flipV="false">
                      <a:off x="0" y="0"/>
                      <a:ext cx="5734050" cy="2032040"/>
                    </a:xfrm>
                    <a:prstGeom prst="rect">
                      <a:avLst/>
                    </a:prstGeom>
                  </pic:spPr>
                </pic:pic>
              </a:graphicData>
            </a:graphic>
          </wp:inline>
        </w:drawing>
      </w:r>
    </w:p>
    <w:p>
      <w:pPr>
        <w:spacing w:after="120" w:before="120" w:line="336" w:lineRule="auto"/>
        <w:ind w:firstLine="0" w:start="0"/>
        <w:jc w:val="start"/>
      </w:pPr>
      <w:r>
        <w:rPr>
          <w:rFonts w:ascii="Rockwell" w:hAnsi="Rockwell" w:cs="Rockwell" w:eastAsia="Rockwell"/>
          <w:color w:val="000000"/>
          <w:sz w:val="23"/>
          <w:szCs w:val="23"/>
        </w:rPr>
        <w:t xml:space="preserve">
</w:t>
      </w:r>
    </w:p>
    <w:p>
      <w:pPr>
        <w:spacing w:after="120" w:before="120"/>
        <w:jc w:val="center"/>
      </w:pPr>
      <w:r>
        <w:drawing>
          <wp:inline>
            <wp:extent cx="5734050" cy="1542409"/>
            <wp:docPr id="17" name="Drawing 17" descr="cae5166a8987b6252630904cc8b8aec6.png"/>
            <wp:cNvGraphicFramePr>
              <a:graphicFrameLocks noChangeAspect="true"/>
            </wp:cNvGraphicFramePr>
            <a:graphic>
              <a:graphicData uri="http://schemas.openxmlformats.org/drawingml/2006/picture">
                <pic:pic xmlns:pic="http://schemas.openxmlformats.org/drawingml/2006/picture">
                  <pic:nvPicPr>
                    <pic:cNvPr id="0" name="Picture 17" descr="cae5166a8987b6252630904cc8b8aec6.png"/>
                    <pic:cNvPicPr>
                      <a:picLocks noChangeAspect="true"/>
                    </pic:cNvPicPr>
                  </pic:nvPicPr>
                  <pic:blipFill>
                    <a:blip r:embed="rId52"/>
                    <a:stretch>
                      <a:fillRect/>
                    </a:stretch>
                  </pic:blipFill>
                  <pic:spPr>
                    <a:xfrm flipH="false" flipV="false">
                      <a:off x="0" y="0"/>
                      <a:ext cx="5734050" cy="1542409"/>
                    </a:xfrm>
                    <a:prstGeom prst="rect">
                      <a:avLst/>
                    </a:prstGeom>
                  </pic:spPr>
                </pic:pic>
              </a:graphicData>
            </a:graphic>
          </wp:inline>
        </w:drawing>
      </w:r>
    </w:p>
    <w:p>
      <w:pPr>
        <w:spacing w:after="120" w:before="120" w:line="336" w:lineRule="auto"/>
        <w:ind w:firstLine="0" w:start="0"/>
        <w:jc w:val="start"/>
      </w:pPr>
      <w:r>
        <w:rPr>
          <w:rFonts w:ascii="Rockwell" w:hAnsi="Rockwell" w:cs="Rockwell" w:eastAsia="Rockwell"/>
          <w:color w:val="000000"/>
          <w:sz w:val="23"/>
          <w:szCs w:val="23"/>
        </w:rPr>
        <w:t xml:space="preserve">
</w:t>
      </w:r>
    </w:p>
    <w:p>
      <w:pPr>
        <w:spacing w:after="120" w:before="120"/>
        <w:jc w:val="center"/>
      </w:pPr>
      <w:r>
        <w:drawing>
          <wp:inline>
            <wp:extent cx="5734050" cy="2260247"/>
            <wp:docPr id="18" name="Drawing 18" descr="1655263133d1087c530c6704a4320d37.png"/>
            <wp:cNvGraphicFramePr>
              <a:graphicFrameLocks noChangeAspect="true"/>
            </wp:cNvGraphicFramePr>
            <a:graphic>
              <a:graphicData uri="http://schemas.openxmlformats.org/drawingml/2006/picture">
                <pic:pic xmlns:pic="http://schemas.openxmlformats.org/drawingml/2006/picture">
                  <pic:nvPicPr>
                    <pic:cNvPr id="0" name="Picture 18" descr="1655263133d1087c530c6704a4320d37.png"/>
                    <pic:cNvPicPr>
                      <a:picLocks noChangeAspect="true"/>
                    </pic:cNvPicPr>
                  </pic:nvPicPr>
                  <pic:blipFill>
                    <a:blip r:embed="rId53"/>
                    <a:stretch>
                      <a:fillRect/>
                    </a:stretch>
                  </pic:blipFill>
                  <pic:spPr>
                    <a:xfrm flipH="false" flipV="false">
                      <a:off x="0" y="0"/>
                      <a:ext cx="5734050" cy="2260247"/>
                    </a:xfrm>
                    <a:prstGeom prst="rect">
                      <a:avLst/>
                    </a:prstGeom>
                  </pic:spPr>
                </pic:pic>
              </a:graphicData>
            </a:graphic>
          </wp:inline>
        </w:drawing>
      </w:r>
    </w:p>
    <w:p>
      <w:pPr>
        <w:spacing w:after="120" w:before="120" w:line="336" w:lineRule="auto"/>
        <w:ind w:firstLine="0" w:start="0"/>
        <w:jc w:val="start"/>
      </w:pPr>
      <w:r>
        <w:rPr>
          <w:rFonts w:ascii="Rockwell" w:hAnsi="Rockwell" w:cs="Rockwell" w:eastAsia="Rockwell"/>
          <w:color w:val="000000"/>
          <w:sz w:val="23"/>
          <w:szCs w:val="23"/>
        </w:rPr>
        <w:t xml:space="preserve">
</w:t>
      </w:r>
    </w:p>
    <w:p>
      <w:pPr>
        <w:spacing w:after="120" w:before="120"/>
        <w:jc w:val="center"/>
      </w:pPr>
      <w:r>
        <w:drawing>
          <wp:inline>
            <wp:extent cx="5734050" cy="4702317"/>
            <wp:docPr id="19" name="Drawing 19" descr="6f18f67d4eff905fda8ea3888cb675f0.png"/>
            <wp:cNvGraphicFramePr>
              <a:graphicFrameLocks noChangeAspect="true"/>
            </wp:cNvGraphicFramePr>
            <a:graphic>
              <a:graphicData uri="http://schemas.openxmlformats.org/drawingml/2006/picture">
                <pic:pic xmlns:pic="http://schemas.openxmlformats.org/drawingml/2006/picture">
                  <pic:nvPicPr>
                    <pic:cNvPr id="0" name="Picture 19" descr="6f18f67d4eff905fda8ea3888cb675f0.png"/>
                    <pic:cNvPicPr>
                      <a:picLocks noChangeAspect="true"/>
                    </pic:cNvPicPr>
                  </pic:nvPicPr>
                  <pic:blipFill>
                    <a:blip r:embed="rId54"/>
                    <a:stretch>
                      <a:fillRect/>
                    </a:stretch>
                  </pic:blipFill>
                  <pic:spPr>
                    <a:xfrm flipH="false" flipV="false">
                      <a:off x="0" y="0"/>
                      <a:ext cx="5734050" cy="4702317"/>
                    </a:xfrm>
                    <a:prstGeom prst="rect">
                      <a:avLst/>
                    </a:prstGeom>
                  </pic:spPr>
                </pic:pic>
              </a:graphicData>
            </a:graphic>
          </wp:inline>
        </w:drawing>
      </w:r>
    </w:p>
    <w:p>
      <w:pPr>
        <w:spacing w:after="120" w:before="120"/>
        <w:jc w:val="center"/>
      </w:pPr>
      <w:r>
        <w:drawing>
          <wp:inline>
            <wp:extent cx="5734050" cy="4878732"/>
            <wp:docPr id="20" name="Drawing 20" descr="92c9e5190f17400e0b76b295cd6b0079.png"/>
            <wp:cNvGraphicFramePr>
              <a:graphicFrameLocks noChangeAspect="true"/>
            </wp:cNvGraphicFramePr>
            <a:graphic>
              <a:graphicData uri="http://schemas.openxmlformats.org/drawingml/2006/picture">
                <pic:pic xmlns:pic="http://schemas.openxmlformats.org/drawingml/2006/picture">
                  <pic:nvPicPr>
                    <pic:cNvPr id="0" name="Picture 20" descr="92c9e5190f17400e0b76b295cd6b0079.png"/>
                    <pic:cNvPicPr>
                      <a:picLocks noChangeAspect="true"/>
                    </pic:cNvPicPr>
                  </pic:nvPicPr>
                  <pic:blipFill>
                    <a:blip r:embed="rId55"/>
                    <a:stretch>
                      <a:fillRect/>
                    </a:stretch>
                  </pic:blipFill>
                  <pic:spPr>
                    <a:xfrm flipH="false" flipV="false">
                      <a:off x="0" y="0"/>
                      <a:ext cx="5734050" cy="4878732"/>
                    </a:xfrm>
                    <a:prstGeom prst="rect">
                      <a:avLst/>
                    </a:prstGeom>
                  </pic:spPr>
                </pic:pic>
              </a:graphicData>
            </a:graphic>
          </wp:inline>
        </w:drawing>
      </w:r>
    </w:p>
    <w:p>
      <w:pPr>
        <w:spacing w:after="120" w:before="120"/>
        <w:jc w:val="center"/>
      </w:pPr>
      <w:r>
        <w:drawing>
          <wp:inline>
            <wp:extent cx="5734050" cy="4363566"/>
            <wp:docPr id="21" name="Drawing 21" descr="adaaee6c22bb424585863c71fa2fae80.png"/>
            <wp:cNvGraphicFramePr>
              <a:graphicFrameLocks noChangeAspect="true"/>
            </wp:cNvGraphicFramePr>
            <a:graphic>
              <a:graphicData uri="http://schemas.openxmlformats.org/drawingml/2006/picture">
                <pic:pic xmlns:pic="http://schemas.openxmlformats.org/drawingml/2006/picture">
                  <pic:nvPicPr>
                    <pic:cNvPr id="0" name="Picture 21" descr="adaaee6c22bb424585863c71fa2fae80.png"/>
                    <pic:cNvPicPr>
                      <a:picLocks noChangeAspect="true"/>
                    </pic:cNvPicPr>
                  </pic:nvPicPr>
                  <pic:blipFill>
                    <a:blip r:embed="rId56"/>
                    <a:stretch>
                      <a:fillRect/>
                    </a:stretch>
                  </pic:blipFill>
                  <pic:spPr>
                    <a:xfrm flipH="false" flipV="false">
                      <a:off x="0" y="0"/>
                      <a:ext cx="5734050" cy="4363566"/>
                    </a:xfrm>
                    <a:prstGeom prst="rect">
                      <a:avLst/>
                    </a:prstGeom>
                  </pic:spPr>
                </pic:pic>
              </a:graphicData>
            </a:graphic>
          </wp:inline>
        </w:drawing>
      </w:r>
    </w:p>
    <w:p>
      <w:pPr>
        <w:spacing w:after="120" w:before="120" w:line="336" w:lineRule="auto"/>
        <w:ind w:firstLine="0" w:start="0"/>
        <w:jc w:val="start"/>
      </w:pPr>
      <w:r>
        <w:rPr>
          <w:rFonts w:ascii="Rockwell" w:hAnsi="Rockwell" w:cs="Rockwell" w:eastAsia="Rockwell"/>
          <w:color w:val="000000"/>
          <w:sz w:val="64"/>
          <w:szCs w:val="64"/>
        </w:rPr>
        <w:t xml:space="preserve">
</w:t>
      </w:r>
    </w:p>
    <w:p>
      <w:pPr>
        <w:spacing w:after="120" w:before="120" w:line="336" w:lineRule="auto"/>
        <w:ind w:firstLine="0" w:start="0"/>
        <w:jc w:val="start"/>
      </w:pPr>
      <w:r>
        <w:rPr>
          <w:rFonts w:ascii="Rockwell" w:hAnsi="Rockwell" w:cs="Rockwell" w:eastAsia="Rockwell"/>
          <w:color w:val="000000"/>
          <w:sz w:val="64"/>
          <w:szCs w:val="64"/>
        </w:rPr>
        <w:t xml:space="preserve">AI </w:t>
      </w:r>
      <w:r>
        <w:rPr>
          <w:rFonts w:ascii="Rockwell" w:hAnsi="Rockwell" w:cs="Rockwell" w:eastAsia="Rockwell"/>
          <w:color w:val="000000"/>
          <w:sz w:val="64"/>
          <w:szCs w:val="64"/>
        </w:rPr>
        <w:t xml:space="preserve">Projektvorschlag für eine Social-Media-Marketingkampagne
</w:t>
      </w:r>
    </w:p>
    <w:p>
      <w:pPr>
        <w:spacing w:after="120" w:before="120" w:line="336" w:lineRule="auto"/>
        <w:ind w:firstLine="0" w:start="0"/>
        <w:jc w:val="start"/>
      </w:pPr>
      <w:r>
        <w:rPr>
          <w:rFonts w:ascii="Rockwell" w:hAnsi="Rockwell" w:cs="Rockwell" w:eastAsia="Rockwell"/>
          <w:color w:val="000000"/>
          <w:sz w:val="36"/>
          <w:szCs w:val="36"/>
        </w:rPr>
        <w:t xml:space="preserve">1) Zusammenfassung
</w:t>
      </w:r>
    </w:p>
    <w:p>
      <w:pPr>
        <w:spacing w:after="120" w:before="120" w:line="336" w:lineRule="auto"/>
        <w:ind w:firstLine="0" w:start="0"/>
        <w:jc w:val="start"/>
      </w:pPr>
      <w:r>
        <w:rPr>
          <w:rFonts w:ascii="Rockwell" w:hAnsi="Rockwell" w:cs="Rockwell" w:eastAsia="Rockwell"/>
          <w:color w:val="000000"/>
          <w:sz w:val="24"/>
          <w:szCs w:val="24"/>
        </w:rPr>
        <w:t xml:space="preserve">Dieser Projektvorschlag beschreibt eine umfassende Social-Media-Marketingkampagne, die das Ziel hat, das Engagement der Nutzer in den sozialen Medien zu erhöhen. Durch den Einsatz gezielter Strategien wie Influencer-Partnerschaften, nutzergenerierte Inhalte und interaktive Funktionen möchten wir eine starke Online-Präsenz aufbauen und die Markenbekanntheit steigern. Die Kampagne ist auf drei Monate ausgelegt und wird durch einen detaillierten Zeitplan und eine Budgetaufschlüsselung unterstützt, um maximale Effizienz und messbare Ergebnisse zu gewährleisten.
</w:t>
      </w:r>
    </w:p>
    <w:p>
      <w:pPr>
        <w:spacing w:after="120" w:before="120" w:line="336" w:lineRule="auto"/>
        <w:ind w:firstLine="0" w:start="0"/>
        <w:jc w:val="start"/>
      </w:pPr>
      <w:r>
        <w:rPr>
          <w:rFonts w:ascii="Rockwell" w:hAnsi="Rockwell" w:cs="Rockwell" w:eastAsia="Rockwell"/>
          <w:color w:val="000000"/>
          <w:sz w:val="36"/>
          <w:szCs w:val="36"/>
        </w:rPr>
        <w:t xml:space="preserve">2) Projektziele
</w:t>
      </w:r>
    </w:p>
    <w:p>
      <w:pPr>
        <w:numPr>
          <w:ilvl w:val="0"/>
          <w:numId w:val="40"/>
        </w:numPr>
        <w:spacing w:after="0" w:before="0" w:line="336" w:lineRule="auto"/>
        <w:jc w:val="start"/>
      </w:pPr>
      <w:r>
        <w:rPr>
          <w:rFonts w:ascii="Rockwell Bold" w:hAnsi="Rockwell Bold" w:cs="Rockwell Bold" w:eastAsia="Rockwell Bold"/>
          <w:b/>
          <w:bCs/>
          <w:color w:val="000000"/>
          <w:sz w:val="24"/>
          <w:szCs w:val="24"/>
        </w:rPr>
        <w:t>Erhöhung des Nutzerengagements</w:t>
      </w:r>
      <w:r>
        <w:rPr>
          <w:rFonts w:ascii="Rockwell" w:hAnsi="Rockwell" w:cs="Rockwell" w:eastAsia="Rockwell"/>
          <w:color w:val="000000"/>
          <w:sz w:val="24"/>
          <w:szCs w:val="24"/>
        </w:rPr>
        <w:t xml:space="preserve">: Steigerung der Interaktionen (Likes, Kommentare, Shares) um 30 %.
</w:t>
      </w:r>
    </w:p>
    <w:p>
      <w:pPr>
        <w:numPr>
          <w:ilvl w:val="0"/>
          <w:numId w:val="40"/>
        </w:numPr>
        <w:spacing w:after="0" w:before="0" w:line="336" w:lineRule="auto"/>
        <w:jc w:val="start"/>
      </w:pPr>
      <w:r>
        <w:rPr>
          <w:rFonts w:ascii="Rockwell Bold" w:hAnsi="Rockwell Bold" w:cs="Rockwell Bold" w:eastAsia="Rockwell Bold"/>
          <w:b/>
          <w:bCs/>
          <w:color w:val="000000"/>
          <w:sz w:val="24"/>
          <w:szCs w:val="24"/>
        </w:rPr>
        <w:t>Steigerung der Markenbekanntheit</w:t>
      </w:r>
      <w:r>
        <w:rPr>
          <w:rFonts w:ascii="Rockwell" w:hAnsi="Rockwell" w:cs="Rockwell" w:eastAsia="Rockwell"/>
          <w:color w:val="000000"/>
          <w:sz w:val="24"/>
          <w:szCs w:val="24"/>
        </w:rPr>
        <w:t xml:space="preserve">: Erhöhung der Reichweite und Impressionen um 50 %.
</w:t>
      </w:r>
    </w:p>
    <w:p>
      <w:pPr>
        <w:numPr>
          <w:ilvl w:val="0"/>
          <w:numId w:val="40"/>
        </w:numPr>
        <w:spacing w:after="0" w:before="0" w:line="336" w:lineRule="auto"/>
        <w:jc w:val="start"/>
      </w:pPr>
      <w:r>
        <w:rPr>
          <w:rFonts w:ascii="Rockwell Bold" w:hAnsi="Rockwell Bold" w:cs="Rockwell Bold" w:eastAsia="Rockwell Bold"/>
          <w:b/>
          <w:bCs/>
          <w:color w:val="000000"/>
          <w:sz w:val="24"/>
          <w:szCs w:val="24"/>
        </w:rPr>
        <w:t>Förderung der Kundenbindung</w:t>
      </w:r>
      <w:r>
        <w:rPr>
          <w:rFonts w:ascii="Rockwell" w:hAnsi="Rockwell" w:cs="Rockwell" w:eastAsia="Rockwell"/>
          <w:color w:val="000000"/>
          <w:sz w:val="24"/>
          <w:szCs w:val="24"/>
        </w:rPr>
        <w:t xml:space="preserve">: Aufbau einer engagierten Community durch regelmäßige Interaktionen.
</w:t>
      </w:r>
    </w:p>
    <w:p>
      <w:pPr>
        <w:numPr>
          <w:ilvl w:val="0"/>
          <w:numId w:val="40"/>
        </w:numPr>
        <w:spacing w:after="0" w:before="0" w:line="336" w:lineRule="auto"/>
        <w:jc w:val="start"/>
      </w:pPr>
      <w:r>
        <w:rPr>
          <w:rFonts w:ascii="Rockwell Bold" w:hAnsi="Rockwell Bold" w:cs="Rockwell Bold" w:eastAsia="Rockwell Bold"/>
          <w:b/>
          <w:bCs/>
          <w:color w:val="000000"/>
          <w:sz w:val="24"/>
          <w:szCs w:val="24"/>
        </w:rPr>
        <w:t>Erreichen neuer Zielgruppen</w:t>
      </w:r>
      <w:r>
        <w:rPr>
          <w:rFonts w:ascii="Rockwell" w:hAnsi="Rockwell" w:cs="Rockwell" w:eastAsia="Rockwell"/>
          <w:color w:val="000000"/>
          <w:sz w:val="24"/>
          <w:szCs w:val="24"/>
        </w:rPr>
        <w:t xml:space="preserve">: Gewinnung von 10.000 neuen Followern innerhalb der Kampagnenlaufzeit.
</w:t>
      </w:r>
    </w:p>
    <w:p>
      <w:pPr>
        <w:spacing w:after="120" w:before="120" w:line="336" w:lineRule="auto"/>
        <w:ind w:firstLine="0" w:start="0"/>
        <w:jc w:val="start"/>
      </w:pPr>
      <w:r>
        <w:rPr>
          <w:rFonts w:ascii="Rockwell" w:hAnsi="Rockwell" w:cs="Rockwell" w:eastAsia="Rockwell"/>
          <w:color w:val="000000"/>
          <w:sz w:val="36"/>
          <w:szCs w:val="36"/>
        </w:rPr>
        <w:t xml:space="preserve">3) Zielgruppe
</w:t>
      </w:r>
    </w:p>
    <w:p>
      <w:pPr>
        <w:numPr>
          <w:ilvl w:val="0"/>
          <w:numId w:val="41"/>
        </w:numPr>
        <w:spacing w:after="0" w:before="0" w:line="336" w:lineRule="auto"/>
        <w:jc w:val="start"/>
      </w:pPr>
      <w:r>
        <w:rPr>
          <w:rFonts w:ascii="Rockwell Bold" w:hAnsi="Rockwell Bold" w:cs="Rockwell Bold" w:eastAsia="Rockwell Bold"/>
          <w:b/>
          <w:bCs/>
          <w:color w:val="000000"/>
          <w:sz w:val="24"/>
          <w:szCs w:val="24"/>
        </w:rPr>
        <w:t>Primäre Zielgruppe</w:t>
      </w:r>
      <w:r>
        <w:rPr>
          <w:rFonts w:ascii="Rockwell" w:hAnsi="Rockwell" w:cs="Rockwell" w:eastAsia="Rockwell"/>
          <w:color w:val="000000"/>
          <w:sz w:val="24"/>
          <w:szCs w:val="24"/>
        </w:rPr>
        <w:t xml:space="preserve">: Junge Erwachsene im Alter von 18 bis 35 Jahren, die in sozialen Medien aktiv sind und ein Interesse an Lifestyle-Trends, Mode und Technologie haben.
</w:t>
      </w:r>
    </w:p>
    <w:p>
      <w:pPr>
        <w:numPr>
          <w:ilvl w:val="0"/>
          <w:numId w:val="41"/>
        </w:numPr>
        <w:spacing w:after="0" w:before="0" w:line="336" w:lineRule="auto"/>
        <w:jc w:val="start"/>
      </w:pPr>
      <w:r>
        <w:rPr>
          <w:rFonts w:ascii="Rockwell Bold" w:hAnsi="Rockwell Bold" w:cs="Rockwell Bold" w:eastAsia="Rockwell Bold"/>
          <w:b/>
          <w:bCs/>
          <w:color w:val="000000"/>
          <w:sz w:val="24"/>
          <w:szCs w:val="24"/>
        </w:rPr>
        <w:t>Sekundäre Zielgruppe</w:t>
      </w:r>
      <w:r>
        <w:rPr>
          <w:rFonts w:ascii="Rockwell" w:hAnsi="Rockwell" w:cs="Rockwell" w:eastAsia="Rockwell"/>
          <w:color w:val="000000"/>
          <w:sz w:val="24"/>
          <w:szCs w:val="24"/>
        </w:rPr>
        <w:t xml:space="preserve">: Berufstätige im Alter von 36 bis 50 Jahren, die soziale Medien nutzen, um sich über neue Produkte und Dienstleistungen zu informieren.
</w:t>
      </w:r>
    </w:p>
    <w:p>
      <w:pPr>
        <w:spacing w:after="120" w:before="120" w:line="336" w:lineRule="auto"/>
        <w:ind w:firstLine="0" w:start="0"/>
        <w:jc w:val="start"/>
      </w:pPr>
      <w:r>
        <w:rPr>
          <w:rFonts w:ascii="Rockwell" w:hAnsi="Rockwell" w:cs="Rockwell" w:eastAsia="Rockwell"/>
          <w:color w:val="000000"/>
          <w:sz w:val="36"/>
          <w:szCs w:val="36"/>
        </w:rPr>
        <w:t xml:space="preserve">4) Vorgeschlagene Strategien
</w:t>
      </w:r>
    </w:p>
    <w:p>
      <w:pPr>
        <w:spacing w:after="120" w:before="120" w:line="336" w:lineRule="auto"/>
        <w:ind w:firstLine="0" w:start="0"/>
        <w:jc w:val="start"/>
      </w:pPr>
      <w:r>
        <w:rPr>
          <w:rFonts w:ascii="Rockwell" w:hAnsi="Rockwell" w:cs="Rockwell" w:eastAsia="Rockwell"/>
          <w:color w:val="000000"/>
          <w:sz w:val="28"/>
          <w:szCs w:val="28"/>
        </w:rPr>
        <w:t xml:space="preserve">Taktik 1: Influencer-Partnerschaften
</w:t>
      </w:r>
    </w:p>
    <w:p>
      <w:pPr>
        <w:numPr>
          <w:ilvl w:val="0"/>
          <w:numId w:val="42"/>
        </w:numPr>
        <w:spacing w:after="0" w:before="0" w:line="336" w:lineRule="auto"/>
        <w:jc w:val="start"/>
      </w:pPr>
      <w:r>
        <w:rPr>
          <w:rFonts w:ascii="Rockwell Bold" w:hAnsi="Rockwell Bold" w:cs="Rockwell Bold" w:eastAsia="Rockwell Bold"/>
          <w:b/>
          <w:bCs/>
          <w:color w:val="000000"/>
          <w:sz w:val="24"/>
          <w:szCs w:val="24"/>
        </w:rPr>
        <w:t>Ziel</w:t>
      </w:r>
      <w:r>
        <w:rPr>
          <w:rFonts w:ascii="Rockwell" w:hAnsi="Rockwell" w:cs="Rockwell" w:eastAsia="Rockwell"/>
          <w:color w:val="000000"/>
          <w:sz w:val="24"/>
          <w:szCs w:val="24"/>
        </w:rPr>
        <w:t xml:space="preserve">: Erhöhung der Reichweite und Authentizität durch die Zusammenarbeit mit bekannten Influencern.
</w:t>
      </w:r>
    </w:p>
    <w:p>
      <w:pPr>
        <w:numPr>
          <w:ilvl w:val="0"/>
          <w:numId w:val="42"/>
        </w:numPr>
        <w:spacing w:after="0" w:before="0" w:line="336" w:lineRule="auto"/>
        <w:jc w:val="start"/>
      </w:pPr>
      <w:r>
        <w:rPr>
          <w:rFonts w:ascii="Rockwell Bold" w:hAnsi="Rockwell Bold" w:cs="Rockwell Bold" w:eastAsia="Rockwell Bold"/>
          <w:b/>
          <w:bCs/>
          <w:color w:val="000000"/>
          <w:sz w:val="24"/>
          <w:szCs w:val="24"/>
        </w:rPr>
        <w:t>Vorgehen</w:t>
      </w:r>
      <w:r>
        <w:rPr>
          <w:rFonts w:ascii="Rockwell" w:hAnsi="Rockwell" w:cs="Rockwell" w:eastAsia="Rockwell"/>
          <w:color w:val="000000"/>
          <w:sz w:val="24"/>
          <w:szCs w:val="24"/>
        </w:rPr>
        <w:t xml:space="preserve">: Auswahl von Influencern, die zur Marke passen, und Entwicklung von Content-Kollaborationen.
</w:t>
      </w:r>
    </w:p>
    <w:p>
      <w:pPr>
        <w:numPr>
          <w:ilvl w:val="0"/>
          <w:numId w:val="42"/>
        </w:numPr>
        <w:spacing w:after="0" w:before="0" w:line="336" w:lineRule="auto"/>
        <w:jc w:val="start"/>
      </w:pPr>
      <w:r>
        <w:rPr>
          <w:rFonts w:ascii="Rockwell Bold" w:hAnsi="Rockwell Bold" w:cs="Rockwell Bold" w:eastAsia="Rockwell Bold"/>
          <w:b/>
          <w:bCs/>
          <w:color w:val="000000"/>
          <w:sz w:val="24"/>
          <w:szCs w:val="24"/>
        </w:rPr>
        <w:t>Budget</w:t>
      </w:r>
      <w:r>
        <w:rPr>
          <w:rFonts w:ascii="Rockwell" w:hAnsi="Rockwell" w:cs="Rockwell" w:eastAsia="Rockwell"/>
          <w:color w:val="000000"/>
          <w:sz w:val="24"/>
          <w:szCs w:val="24"/>
        </w:rPr>
        <w:t xml:space="preserve">: 40 % des Gesamtbudgets.
</w:t>
      </w:r>
    </w:p>
    <w:p>
      <w:pPr>
        <w:numPr>
          <w:ilvl w:val="0"/>
          <w:numId w:val="42"/>
        </w:numPr>
        <w:spacing w:after="0" w:before="0" w:line="336" w:lineRule="auto"/>
        <w:jc w:val="start"/>
      </w:pPr>
      <w:r>
        <w:rPr>
          <w:rFonts w:ascii="Rockwell Bold" w:hAnsi="Rockwell Bold" w:cs="Rockwell Bold" w:eastAsia="Rockwell Bold"/>
          <w:b/>
          <w:bCs/>
          <w:color w:val="000000"/>
          <w:sz w:val="24"/>
          <w:szCs w:val="24"/>
        </w:rPr>
        <w:t>Erwartete Metriken</w:t>
      </w:r>
      <w:r>
        <w:rPr>
          <w:rFonts w:ascii="Rockwell" w:hAnsi="Rockwell" w:cs="Rockwell" w:eastAsia="Rockwell"/>
          <w:color w:val="000000"/>
          <w:sz w:val="24"/>
          <w:szCs w:val="24"/>
        </w:rPr>
        <w:t xml:space="preserve">: Anzahl der Mentions, Engagement-Rate, Follower-Wachstum.
</w:t>
      </w:r>
    </w:p>
    <w:p>
      <w:pPr>
        <w:spacing w:after="120" w:before="120" w:line="336" w:lineRule="auto"/>
        <w:ind w:firstLine="0" w:start="0"/>
        <w:jc w:val="start"/>
      </w:pPr>
      <w:r>
        <w:rPr>
          <w:rFonts w:ascii="Rockwell" w:hAnsi="Rockwell" w:cs="Rockwell" w:eastAsia="Rockwell"/>
          <w:color w:val="000000"/>
          <w:sz w:val="28"/>
          <w:szCs w:val="28"/>
        </w:rPr>
        <w:t xml:space="preserve">Taktik 2: Nutzer-generierte Inhalte
</w:t>
      </w:r>
    </w:p>
    <w:p>
      <w:pPr>
        <w:numPr>
          <w:ilvl w:val="0"/>
          <w:numId w:val="43"/>
        </w:numPr>
        <w:spacing w:after="0" w:before="0" w:line="336" w:lineRule="auto"/>
        <w:jc w:val="start"/>
      </w:pPr>
      <w:r>
        <w:rPr>
          <w:rFonts w:ascii="Rockwell Bold" w:hAnsi="Rockwell Bold" w:cs="Rockwell Bold" w:eastAsia="Rockwell Bold"/>
          <w:b/>
          <w:bCs/>
          <w:color w:val="000000"/>
          <w:sz w:val="24"/>
          <w:szCs w:val="24"/>
        </w:rPr>
        <w:t>Ziel</w:t>
      </w:r>
      <w:r>
        <w:rPr>
          <w:rFonts w:ascii="Rockwell" w:hAnsi="Rockwell" w:cs="Rockwell" w:eastAsia="Rockwell"/>
          <w:color w:val="000000"/>
          <w:sz w:val="24"/>
          <w:szCs w:val="24"/>
        </w:rPr>
        <w:t xml:space="preserve">: Erhöhung der Interaktion durch von Nutzern erstellte Inhalte.
</w:t>
      </w:r>
    </w:p>
    <w:p>
      <w:pPr>
        <w:numPr>
          <w:ilvl w:val="0"/>
          <w:numId w:val="43"/>
        </w:numPr>
        <w:spacing w:after="0" w:before="0" w:line="336" w:lineRule="auto"/>
        <w:jc w:val="start"/>
      </w:pPr>
      <w:r>
        <w:rPr>
          <w:rFonts w:ascii="Rockwell Bold" w:hAnsi="Rockwell Bold" w:cs="Rockwell Bold" w:eastAsia="Rockwell Bold"/>
          <w:b/>
          <w:bCs/>
          <w:color w:val="000000"/>
          <w:sz w:val="24"/>
          <w:szCs w:val="24"/>
        </w:rPr>
        <w:t>Vorgehen</w:t>
      </w:r>
      <w:r>
        <w:rPr>
          <w:rFonts w:ascii="Rockwell" w:hAnsi="Rockwell" w:cs="Rockwell" w:eastAsia="Rockwell"/>
          <w:color w:val="000000"/>
          <w:sz w:val="24"/>
          <w:szCs w:val="24"/>
        </w:rPr>
        <w:t xml:space="preserve">: Start eines Wettbewerbs zur Erstellung von Inhalten, die die Marke präsentieren.
</w:t>
      </w:r>
    </w:p>
    <w:p>
      <w:pPr>
        <w:numPr>
          <w:ilvl w:val="0"/>
          <w:numId w:val="43"/>
        </w:numPr>
        <w:spacing w:after="0" w:before="0" w:line="336" w:lineRule="auto"/>
        <w:jc w:val="start"/>
      </w:pPr>
      <w:r>
        <w:rPr>
          <w:rFonts w:ascii="Rockwell Bold" w:hAnsi="Rockwell Bold" w:cs="Rockwell Bold" w:eastAsia="Rockwell Bold"/>
          <w:b/>
          <w:bCs/>
          <w:color w:val="000000"/>
          <w:sz w:val="24"/>
          <w:szCs w:val="24"/>
        </w:rPr>
        <w:t>Budget</w:t>
      </w:r>
      <w:r>
        <w:rPr>
          <w:rFonts w:ascii="Rockwell" w:hAnsi="Rockwell" w:cs="Rockwell" w:eastAsia="Rockwell"/>
          <w:color w:val="000000"/>
          <w:sz w:val="24"/>
          <w:szCs w:val="24"/>
        </w:rPr>
        <w:t xml:space="preserve">: 30 % des Gesamtbudgets.
</w:t>
      </w:r>
    </w:p>
    <w:p>
      <w:pPr>
        <w:numPr>
          <w:ilvl w:val="0"/>
          <w:numId w:val="43"/>
        </w:numPr>
        <w:spacing w:after="0" w:before="0" w:line="336" w:lineRule="auto"/>
        <w:jc w:val="start"/>
      </w:pPr>
      <w:r>
        <w:rPr>
          <w:rFonts w:ascii="Rockwell Bold" w:hAnsi="Rockwell Bold" w:cs="Rockwell Bold" w:eastAsia="Rockwell Bold"/>
          <w:b/>
          <w:bCs/>
          <w:color w:val="000000"/>
          <w:sz w:val="24"/>
          <w:szCs w:val="24"/>
        </w:rPr>
        <w:t>Erwartete Metriken</w:t>
      </w:r>
      <w:r>
        <w:rPr>
          <w:rFonts w:ascii="Rockwell" w:hAnsi="Rockwell" w:cs="Rockwell" w:eastAsia="Rockwell"/>
          <w:color w:val="000000"/>
          <w:sz w:val="24"/>
          <w:szCs w:val="24"/>
        </w:rPr>
        <w:t xml:space="preserve">: Anzahl der eingereichten Inhalte, Shares, Impressionen.
</w:t>
      </w:r>
    </w:p>
    <w:p>
      <w:pPr>
        <w:spacing w:after="120" w:before="120" w:line="336" w:lineRule="auto"/>
        <w:ind w:firstLine="0" w:start="0"/>
        <w:jc w:val="start"/>
      </w:pPr>
      <w:r>
        <w:rPr>
          <w:rFonts w:ascii="Rockwell" w:hAnsi="Rockwell" w:cs="Rockwell" w:eastAsia="Rockwell"/>
          <w:color w:val="000000"/>
          <w:sz w:val="28"/>
          <w:szCs w:val="28"/>
        </w:rPr>
        <w:t xml:space="preserve">Taktik 3: Interaktive Social-Media-Funktionen
</w:t>
      </w:r>
    </w:p>
    <w:p>
      <w:pPr>
        <w:numPr>
          <w:ilvl w:val="0"/>
          <w:numId w:val="44"/>
        </w:numPr>
        <w:spacing w:after="0" w:before="0" w:line="336" w:lineRule="auto"/>
        <w:jc w:val="start"/>
      </w:pPr>
      <w:r>
        <w:rPr>
          <w:rFonts w:ascii="Rockwell Bold" w:hAnsi="Rockwell Bold" w:cs="Rockwell Bold" w:eastAsia="Rockwell Bold"/>
          <w:b/>
          <w:bCs/>
          <w:color w:val="000000"/>
          <w:sz w:val="24"/>
          <w:szCs w:val="24"/>
        </w:rPr>
        <w:t>Ziel</w:t>
      </w:r>
      <w:r>
        <w:rPr>
          <w:rFonts w:ascii="Rockwell" w:hAnsi="Rockwell" w:cs="Rockwell" w:eastAsia="Rockwell"/>
          <w:color w:val="000000"/>
          <w:sz w:val="24"/>
          <w:szCs w:val="24"/>
        </w:rPr>
        <w:t xml:space="preserve">: Förderung des Engagements durch interaktive Elemente wie Umfragen und Live-Events.
</w:t>
      </w:r>
    </w:p>
    <w:p>
      <w:pPr>
        <w:numPr>
          <w:ilvl w:val="0"/>
          <w:numId w:val="44"/>
        </w:numPr>
        <w:spacing w:after="0" w:before="0" w:line="336" w:lineRule="auto"/>
        <w:jc w:val="start"/>
      </w:pPr>
      <w:r>
        <w:rPr>
          <w:rFonts w:ascii="Rockwell Bold" w:hAnsi="Rockwell Bold" w:cs="Rockwell Bold" w:eastAsia="Rockwell Bold"/>
          <w:b/>
          <w:bCs/>
          <w:color w:val="000000"/>
          <w:sz w:val="24"/>
          <w:szCs w:val="24"/>
        </w:rPr>
        <w:t>Vorgehen</w:t>
      </w:r>
      <w:r>
        <w:rPr>
          <w:rFonts w:ascii="Rockwell" w:hAnsi="Rockwell" w:cs="Rockwell" w:eastAsia="Rockwell"/>
          <w:color w:val="000000"/>
          <w:sz w:val="24"/>
          <w:szCs w:val="24"/>
        </w:rPr>
        <w:t xml:space="preserve">: Regelmäßige Durchführung von Umfragen und Live-Q&amp;A-Sessions.
</w:t>
      </w:r>
    </w:p>
    <w:p>
      <w:pPr>
        <w:numPr>
          <w:ilvl w:val="0"/>
          <w:numId w:val="44"/>
        </w:numPr>
        <w:spacing w:after="0" w:before="0" w:line="336" w:lineRule="auto"/>
        <w:jc w:val="start"/>
      </w:pPr>
      <w:r>
        <w:rPr>
          <w:rFonts w:ascii="Rockwell Bold" w:hAnsi="Rockwell Bold" w:cs="Rockwell Bold" w:eastAsia="Rockwell Bold"/>
          <w:b/>
          <w:bCs/>
          <w:color w:val="000000"/>
          <w:sz w:val="24"/>
          <w:szCs w:val="24"/>
        </w:rPr>
        <w:t>Budget</w:t>
      </w:r>
      <w:r>
        <w:rPr>
          <w:rFonts w:ascii="Rockwell" w:hAnsi="Rockwell" w:cs="Rockwell" w:eastAsia="Rockwell"/>
          <w:color w:val="000000"/>
          <w:sz w:val="24"/>
          <w:szCs w:val="24"/>
        </w:rPr>
        <w:t xml:space="preserve">: 20 % des Gesamtbudgets.
</w:t>
      </w:r>
    </w:p>
    <w:p>
      <w:pPr>
        <w:numPr>
          <w:ilvl w:val="0"/>
          <w:numId w:val="44"/>
        </w:numPr>
        <w:spacing w:after="0" w:before="0" w:line="336" w:lineRule="auto"/>
        <w:jc w:val="start"/>
      </w:pPr>
      <w:r>
        <w:rPr>
          <w:rFonts w:ascii="Rockwell Bold" w:hAnsi="Rockwell Bold" w:cs="Rockwell Bold" w:eastAsia="Rockwell Bold"/>
          <w:b/>
          <w:bCs/>
          <w:color w:val="000000"/>
          <w:sz w:val="24"/>
          <w:szCs w:val="24"/>
        </w:rPr>
        <w:t>Erwartete Metriken</w:t>
      </w:r>
      <w:r>
        <w:rPr>
          <w:rFonts w:ascii="Rockwell" w:hAnsi="Rockwell" w:cs="Rockwell" w:eastAsia="Rockwell"/>
          <w:color w:val="000000"/>
          <w:sz w:val="24"/>
          <w:szCs w:val="24"/>
        </w:rPr>
        <w:t xml:space="preserve">: Beteiligung an Umfragen, Zuschauerzahlen bei Live-Events.
</w:t>
      </w:r>
    </w:p>
    <w:p>
      <w:pPr>
        <w:spacing w:after="120" w:before="120" w:line="336" w:lineRule="auto"/>
        <w:ind w:firstLine="0" w:start="0"/>
        <w:jc w:val="start"/>
      </w:pPr>
      <w:r>
        <w:rPr>
          <w:rFonts w:ascii="Rockwell" w:hAnsi="Rockwell" w:cs="Rockwell" w:eastAsia="Rockwell"/>
          <w:color w:val="000000"/>
          <w:sz w:val="28"/>
          <w:szCs w:val="28"/>
        </w:rPr>
        <w:t xml:space="preserve">Taktik 4: Social-Media-Werbung
</w:t>
      </w:r>
    </w:p>
    <w:p>
      <w:pPr>
        <w:numPr>
          <w:ilvl w:val="0"/>
          <w:numId w:val="45"/>
        </w:numPr>
        <w:spacing w:after="0" w:before="0" w:line="336" w:lineRule="auto"/>
        <w:jc w:val="start"/>
      </w:pPr>
      <w:r>
        <w:rPr>
          <w:rFonts w:ascii="Rockwell Bold" w:hAnsi="Rockwell Bold" w:cs="Rockwell Bold" w:eastAsia="Rockwell Bold"/>
          <w:b/>
          <w:bCs/>
          <w:color w:val="000000"/>
          <w:sz w:val="24"/>
          <w:szCs w:val="24"/>
        </w:rPr>
        <w:t>Ziel</w:t>
      </w:r>
      <w:r>
        <w:rPr>
          <w:rFonts w:ascii="Rockwell" w:hAnsi="Rockwell" w:cs="Rockwell" w:eastAsia="Rockwell"/>
          <w:color w:val="000000"/>
          <w:sz w:val="24"/>
          <w:szCs w:val="24"/>
        </w:rPr>
        <w:t xml:space="preserve">: Erhöhung der Sichtbarkeit durch gezielte Anzeigen.
</w:t>
      </w:r>
    </w:p>
    <w:p>
      <w:pPr>
        <w:numPr>
          <w:ilvl w:val="0"/>
          <w:numId w:val="45"/>
        </w:numPr>
        <w:spacing w:after="0" w:before="0" w:line="336" w:lineRule="auto"/>
        <w:jc w:val="start"/>
      </w:pPr>
      <w:r>
        <w:rPr>
          <w:rFonts w:ascii="Rockwell Bold" w:hAnsi="Rockwell Bold" w:cs="Rockwell Bold" w:eastAsia="Rockwell Bold"/>
          <w:b/>
          <w:bCs/>
          <w:color w:val="000000"/>
          <w:sz w:val="24"/>
          <w:szCs w:val="24"/>
        </w:rPr>
        <w:t>Vorgehen</w:t>
      </w:r>
      <w:r>
        <w:rPr>
          <w:rFonts w:ascii="Rockwell" w:hAnsi="Rockwell" w:cs="Rockwell" w:eastAsia="Rockwell"/>
          <w:color w:val="000000"/>
          <w:sz w:val="24"/>
          <w:szCs w:val="24"/>
        </w:rPr>
        <w:t xml:space="preserve">: Erstellung ansprechender Anzeigen und Targeting spezifischer Zielgruppen.
</w:t>
      </w:r>
    </w:p>
    <w:p>
      <w:pPr>
        <w:numPr>
          <w:ilvl w:val="0"/>
          <w:numId w:val="45"/>
        </w:numPr>
        <w:spacing w:after="0" w:before="0" w:line="336" w:lineRule="auto"/>
        <w:jc w:val="start"/>
      </w:pPr>
      <w:r>
        <w:rPr>
          <w:rFonts w:ascii="Rockwell Bold" w:hAnsi="Rockwell Bold" w:cs="Rockwell Bold" w:eastAsia="Rockwell Bold"/>
          <w:b/>
          <w:bCs/>
          <w:color w:val="000000"/>
          <w:sz w:val="24"/>
          <w:szCs w:val="24"/>
        </w:rPr>
        <w:t>Budget</w:t>
      </w:r>
      <w:r>
        <w:rPr>
          <w:rFonts w:ascii="Rockwell" w:hAnsi="Rockwell" w:cs="Rockwell" w:eastAsia="Rockwell"/>
          <w:color w:val="000000"/>
          <w:sz w:val="24"/>
          <w:szCs w:val="24"/>
        </w:rPr>
        <w:t xml:space="preserve">: 10 % des Gesamtbudgets.
</w:t>
      </w:r>
    </w:p>
    <w:p>
      <w:pPr>
        <w:numPr>
          <w:ilvl w:val="0"/>
          <w:numId w:val="45"/>
        </w:numPr>
        <w:spacing w:after="0" w:before="0" w:line="336" w:lineRule="auto"/>
        <w:jc w:val="start"/>
      </w:pPr>
      <w:r>
        <w:rPr>
          <w:rFonts w:ascii="Rockwell Bold" w:hAnsi="Rockwell Bold" w:cs="Rockwell Bold" w:eastAsia="Rockwell Bold"/>
          <w:b/>
          <w:bCs/>
          <w:color w:val="000000"/>
          <w:sz w:val="24"/>
          <w:szCs w:val="24"/>
        </w:rPr>
        <w:t>Erwartete Metriken</w:t>
      </w:r>
      <w:r>
        <w:rPr>
          <w:rFonts w:ascii="Rockwell" w:hAnsi="Rockwell" w:cs="Rockwell" w:eastAsia="Rockwell"/>
          <w:color w:val="000000"/>
          <w:sz w:val="24"/>
          <w:szCs w:val="24"/>
        </w:rPr>
        <w:t xml:space="preserve">: Klickrate, Conversion-Rate, Kosten pro Klick.
</w:t>
      </w:r>
    </w:p>
    <w:p>
      <w:pPr>
        <w:spacing w:after="120" w:before="120" w:line="336" w:lineRule="auto"/>
        <w:ind w:firstLine="0" w:start="0"/>
        <w:jc w:val="start"/>
      </w:pPr>
      <w:r>
        <w:rPr>
          <w:rFonts w:ascii="Rockwell" w:hAnsi="Rockwell" w:cs="Rockwell" w:eastAsia="Rockwell"/>
          <w:color w:val="000000"/>
          <w:sz w:val="36"/>
          <w:szCs w:val="36"/>
        </w:rPr>
        <w:t xml:space="preserve">5) Zeitplan für die Implementierung
</w:t>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4515"/>
        <w:gridCol w:w="4515"/>
      </w:tblGrid>
      <w:tr>
        <w:tc>
          <w:tcPr>
            <w:tcW w:w="4515"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Woche</w:t>
            </w:r>
            <w:r>
              <w:rPr>
                <w:rFonts w:ascii="Arimo" w:hAnsi="Arimo" w:cs="Arimo" w:eastAsia="Arimo"/>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Aktivität</w:t>
            </w:r>
            <w:r>
              <w:rPr>
                <w:rFonts w:ascii="Arimo" w:hAnsi="Arimo" w:cs="Arimo" w:eastAsia="Arimo"/>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1-2</w:t>
            </w:r>
            <w:r>
              <w:rPr>
                <w:rFonts w:ascii="Arimo" w:hAnsi="Arimo" w:cs="Arimo" w:eastAsia="Arimo"/>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Kampagnenplanung und Influencer-Auswahl</w:t>
            </w:r>
            <w:r>
              <w:rPr>
                <w:rFonts w:ascii="Arimo" w:hAnsi="Arimo" w:cs="Arimo" w:eastAsia="Arimo"/>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3-4</w:t>
            </w:r>
            <w:r>
              <w:rPr>
                <w:rFonts w:ascii="Arimo" w:hAnsi="Arimo" w:cs="Arimo" w:eastAsia="Arimo"/>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Start der Influencer-Partnerschaften</w:t>
            </w:r>
            <w:r>
              <w:rPr>
                <w:rFonts w:ascii="Arimo" w:hAnsi="Arimo" w:cs="Arimo" w:eastAsia="Arimo"/>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5-6</w:t>
            </w:r>
            <w:r>
              <w:rPr>
                <w:rFonts w:ascii="Arimo" w:hAnsi="Arimo" w:cs="Arimo" w:eastAsia="Arimo"/>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Launch der nutzergenerierten Inhalte</w:t>
            </w:r>
            <w:r>
              <w:rPr>
                <w:rFonts w:ascii="Arimo" w:hAnsi="Arimo" w:cs="Arimo" w:eastAsia="Arimo"/>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7-8</w:t>
            </w:r>
            <w:r>
              <w:rPr>
                <w:rFonts w:ascii="Arimo" w:hAnsi="Arimo" w:cs="Arimo" w:eastAsia="Arimo"/>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Durchführung von interaktiven Umfragen</w:t>
            </w:r>
            <w:r>
              <w:rPr>
                <w:rFonts w:ascii="Arimo" w:hAnsi="Arimo" w:cs="Arimo" w:eastAsia="Arimo"/>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9-10</w:t>
            </w:r>
            <w:r>
              <w:rPr>
                <w:rFonts w:ascii="Arimo" w:hAnsi="Arimo" w:cs="Arimo" w:eastAsia="Arimo"/>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Live-Events und Q&amp;A-Sessions</w:t>
            </w:r>
            <w:r>
              <w:rPr>
                <w:rFonts w:ascii="Arimo" w:hAnsi="Arimo" w:cs="Arimo" w:eastAsia="Arimo"/>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11-12</w:t>
            </w:r>
            <w:r>
              <w:rPr>
                <w:rFonts w:ascii="Arimo" w:hAnsi="Arimo" w:cs="Arimo" w:eastAsia="Arimo"/>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Social-Media-Werbung und Abschlussanalyse</w:t>
            </w:r>
            <w:r>
              <w:rPr>
                <w:rFonts w:ascii="Arimo" w:hAnsi="Arimo" w:cs="Arimo" w:eastAsia="Arimo"/>
                <w:color w:val="000000"/>
                <w:sz w:val="24"/>
                <w:szCs w:val="24"/>
              </w:rPr>
              <w:t xml:space="preserve">
</w:t>
            </w:r>
          </w:p>
        </w:tc>
      </w:tr>
    </w:tbl>
    <w:p>
      <w:pPr>
        <w:spacing w:after="120" w:before="120" w:line="336" w:lineRule="auto"/>
        <w:ind w:firstLine="0" w:start="0"/>
        <w:jc w:val="start"/>
      </w:pPr>
      <w:r>
        <w:rPr>
          <w:rFonts w:ascii="Rockwell" w:hAnsi="Rockwell" w:cs="Rockwell" w:eastAsia="Rockwell"/>
          <w:color w:val="000000"/>
          <w:sz w:val="36"/>
          <w:szCs w:val="36"/>
        </w:rPr>
        <w:t xml:space="preserve">6) Budgetaufschlüsselung
</w:t>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3010"/>
        <w:gridCol w:w="3010"/>
        <w:gridCol w:w="3010"/>
      </w:tblGrid>
      <w:tr>
        <w:tc>
          <w:tcPr>
            <w:tcW w:w="3010"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Strategie</w:t>
            </w:r>
            <w:r>
              <w:rPr>
                <w:rFonts w:ascii="Arimo" w:hAnsi="Arimo" w:cs="Arimo" w:eastAsia="Arimo"/>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Budgetanteil</w:t>
            </w:r>
            <w:r>
              <w:rPr>
                <w:rFonts w:ascii="Arimo" w:hAnsi="Arimo" w:cs="Arimo" w:eastAsia="Arimo"/>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Gesamtsumme (EUR)</w:t>
            </w:r>
            <w:r>
              <w:rPr>
                <w:rFonts w:ascii="Arimo" w:hAnsi="Arimo" w:cs="Arimo" w:eastAsia="Arimo"/>
                <w:color w:val="000000"/>
                <w:sz w:val="24"/>
                <w:szCs w:val="24"/>
              </w:rPr>
              <w:t xml:space="preserve">
</w:t>
            </w:r>
          </w:p>
        </w:tc>
      </w:tr>
      <w:tr>
        <w:tc>
          <w:tcPr>
            <w:tcW w:w="3010"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Influencer-Partnerschaften</w:t>
            </w:r>
            <w:r>
              <w:rPr>
                <w:rFonts w:ascii="Arimo" w:hAnsi="Arimo" w:cs="Arimo" w:eastAsia="Arimo"/>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40 %</w:t>
            </w:r>
            <w:r>
              <w:rPr>
                <w:rFonts w:ascii="Arimo" w:hAnsi="Arimo" w:cs="Arimo" w:eastAsia="Arimo"/>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20.000</w:t>
            </w:r>
            <w:r>
              <w:rPr>
                <w:rFonts w:ascii="Arimo" w:hAnsi="Arimo" w:cs="Arimo" w:eastAsia="Arimo"/>
                <w:color w:val="000000"/>
                <w:sz w:val="24"/>
                <w:szCs w:val="24"/>
              </w:rPr>
              <w:t xml:space="preserve">
</w:t>
            </w:r>
          </w:p>
        </w:tc>
      </w:tr>
      <w:tr>
        <w:tc>
          <w:tcPr>
            <w:tcW w:w="3010"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Nutzer-generierte Inhalte</w:t>
            </w:r>
            <w:r>
              <w:rPr>
                <w:rFonts w:ascii="Arimo" w:hAnsi="Arimo" w:cs="Arimo" w:eastAsia="Arimo"/>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30 %</w:t>
            </w:r>
            <w:r>
              <w:rPr>
                <w:rFonts w:ascii="Arimo" w:hAnsi="Arimo" w:cs="Arimo" w:eastAsia="Arimo"/>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15.000</w:t>
            </w:r>
            <w:r>
              <w:rPr>
                <w:rFonts w:ascii="Arimo" w:hAnsi="Arimo" w:cs="Arimo" w:eastAsia="Arimo"/>
                <w:color w:val="000000"/>
                <w:sz w:val="24"/>
                <w:szCs w:val="24"/>
              </w:rPr>
              <w:t xml:space="preserve">
</w:t>
            </w:r>
          </w:p>
        </w:tc>
      </w:tr>
      <w:tr>
        <w:tc>
          <w:tcPr>
            <w:tcW w:w="3010"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Interaktive Funktionen</w:t>
            </w:r>
            <w:r>
              <w:rPr>
                <w:rFonts w:ascii="Arimo" w:hAnsi="Arimo" w:cs="Arimo" w:eastAsia="Arimo"/>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20 %</w:t>
            </w:r>
            <w:r>
              <w:rPr>
                <w:rFonts w:ascii="Arimo" w:hAnsi="Arimo" w:cs="Arimo" w:eastAsia="Arimo"/>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10.000</w:t>
            </w:r>
            <w:r>
              <w:rPr>
                <w:rFonts w:ascii="Arimo" w:hAnsi="Arimo" w:cs="Arimo" w:eastAsia="Arimo"/>
                <w:color w:val="000000"/>
                <w:sz w:val="24"/>
                <w:szCs w:val="24"/>
              </w:rPr>
              <w:t xml:space="preserve">
</w:t>
            </w:r>
          </w:p>
        </w:tc>
      </w:tr>
      <w:tr>
        <w:tc>
          <w:tcPr>
            <w:tcW w:w="3010"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Social-Media-Werbung</w:t>
            </w:r>
            <w:r>
              <w:rPr>
                <w:rFonts w:ascii="Arimo" w:hAnsi="Arimo" w:cs="Arimo" w:eastAsia="Arimo"/>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10 %</w:t>
            </w:r>
            <w:r>
              <w:rPr>
                <w:rFonts w:ascii="Arimo" w:hAnsi="Arimo" w:cs="Arimo" w:eastAsia="Arimo"/>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Rockwell" w:hAnsi="Rockwell" w:cs="Rockwell" w:eastAsia="Rockwell"/>
                <w:color w:val="000000"/>
                <w:sz w:val="24"/>
                <w:szCs w:val="24"/>
              </w:rPr>
              <w:t>5.000</w:t>
            </w:r>
            <w:r>
              <w:rPr>
                <w:rFonts w:ascii="Arimo" w:hAnsi="Arimo" w:cs="Arimo" w:eastAsia="Arimo"/>
                <w:color w:val="000000"/>
                <w:sz w:val="24"/>
                <w:szCs w:val="24"/>
              </w:rPr>
              <w:t xml:space="preserve">
</w:t>
            </w:r>
          </w:p>
        </w:tc>
      </w:tr>
      <w:tr>
        <w:tc>
          <w:tcPr>
            <w:tcW w:w="3010" w:type="dxa"/>
            <w:tcMar>
              <w:top w:w="180"/>
              <w:start w:w="180"/>
              <w:bottom w:w="180"/>
              <w:end w:w="180"/>
            </w:tcMar>
          </w:tcPr>
          <w:p>
            <w:pPr>
              <w:spacing w:after="120" w:before="120" w:line="336" w:lineRule="auto"/>
              <w:ind w:firstLine="0" w:start="0"/>
              <w:jc w:val="start"/>
            </w:pPr>
            <w:r>
              <w:rPr>
                <w:rFonts w:ascii="Rockwell Bold" w:hAnsi="Rockwell Bold" w:cs="Rockwell Bold" w:eastAsia="Rockwell Bold"/>
                <w:b/>
                <w:bCs/>
                <w:color w:val="000000"/>
                <w:sz w:val="24"/>
                <w:szCs w:val="24"/>
              </w:rPr>
              <w:t>Gesamtbudget</w:t>
            </w:r>
            <w:r>
              <w:rPr>
                <w:rFonts w:ascii="Arimo" w:hAnsi="Arimo" w:cs="Arimo" w:eastAsia="Arimo"/>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Rockwell Bold" w:hAnsi="Rockwell Bold" w:cs="Rockwell Bold" w:eastAsia="Rockwell Bold"/>
                <w:b/>
                <w:bCs/>
                <w:color w:val="000000"/>
                <w:sz w:val="24"/>
                <w:szCs w:val="24"/>
              </w:rPr>
              <w:t>100 %</w:t>
            </w:r>
            <w:r>
              <w:rPr>
                <w:rFonts w:ascii="Arimo" w:hAnsi="Arimo" w:cs="Arimo" w:eastAsia="Arimo"/>
                <w:color w:val="000000"/>
                <w:sz w:val="24"/>
                <w:szCs w:val="24"/>
              </w:rPr>
              <w:t xml:space="preserve">
</w:t>
            </w:r>
          </w:p>
        </w:tc>
        <w:tc>
          <w:tcPr>
            <w:tcW w:w="3010" w:type="dxa"/>
            <w:tcMar>
              <w:top w:w="180"/>
              <w:start w:w="180"/>
              <w:bottom w:w="180"/>
              <w:end w:w="180"/>
            </w:tcMar>
          </w:tcPr>
          <w:p>
            <w:pPr>
              <w:spacing w:after="120" w:before="120" w:line="336" w:lineRule="auto"/>
              <w:ind w:firstLine="0" w:start="0"/>
              <w:jc w:val="start"/>
            </w:pPr>
            <w:r>
              <w:rPr>
                <w:rFonts w:ascii="Rockwell Bold" w:hAnsi="Rockwell Bold" w:cs="Rockwell Bold" w:eastAsia="Rockwell Bold"/>
                <w:b/>
                <w:bCs/>
                <w:color w:val="000000"/>
                <w:sz w:val="24"/>
                <w:szCs w:val="24"/>
              </w:rPr>
              <w:t>50.000</w:t>
            </w:r>
            <w:r>
              <w:rPr>
                <w:rFonts w:ascii="Arimo" w:hAnsi="Arimo" w:cs="Arimo" w:eastAsia="Arimo"/>
                <w:color w:val="000000"/>
                <w:sz w:val="24"/>
                <w:szCs w:val="24"/>
              </w:rPr>
              <w:t xml:space="preserve">
</w:t>
            </w:r>
          </w:p>
        </w:tc>
      </w:tr>
    </w:tbl>
    <w:p>
      <w:pPr>
        <w:spacing w:after="120" w:before="120" w:line="336" w:lineRule="auto"/>
        <w:ind w:firstLine="0" w:start="0"/>
        <w:jc w:val="start"/>
      </w:pPr>
      <w:r>
        <w:rPr>
          <w:rFonts w:ascii="Rockwell" w:hAnsi="Rockwell" w:cs="Rockwell" w:eastAsia="Rockwell"/>
          <w:color w:val="000000"/>
          <w:sz w:val="36"/>
          <w:szCs w:val="36"/>
        </w:rPr>
        <w:t xml:space="preserve">7) Erwartete Ergebnisse
</w:t>
      </w:r>
    </w:p>
    <w:p>
      <w:pPr>
        <w:numPr>
          <w:ilvl w:val="0"/>
          <w:numId w:val="46"/>
        </w:numPr>
        <w:spacing w:after="0" w:before="0" w:line="336" w:lineRule="auto"/>
        <w:jc w:val="start"/>
      </w:pPr>
      <w:r>
        <w:rPr>
          <w:rFonts w:ascii="Rockwell Bold" w:hAnsi="Rockwell Bold" w:cs="Rockwell Bold" w:eastAsia="Rockwell Bold"/>
          <w:b/>
          <w:bCs/>
          <w:color w:val="000000"/>
          <w:sz w:val="24"/>
          <w:szCs w:val="24"/>
        </w:rPr>
        <w:t>Engagement-Rate</w:t>
      </w:r>
      <w:r>
        <w:rPr>
          <w:rFonts w:ascii="Rockwell" w:hAnsi="Rockwell" w:cs="Rockwell" w:eastAsia="Rockwell"/>
          <w:color w:val="000000"/>
          <w:sz w:val="24"/>
          <w:szCs w:val="24"/>
        </w:rPr>
        <w:t xml:space="preserve">: Erhöhung um 30 %.
</w:t>
      </w:r>
    </w:p>
    <w:p>
      <w:pPr>
        <w:numPr>
          <w:ilvl w:val="0"/>
          <w:numId w:val="46"/>
        </w:numPr>
        <w:spacing w:after="0" w:before="0" w:line="336" w:lineRule="auto"/>
        <w:jc w:val="start"/>
      </w:pPr>
      <w:r>
        <w:rPr>
          <w:rFonts w:ascii="Rockwell Bold" w:hAnsi="Rockwell Bold" w:cs="Rockwell Bold" w:eastAsia="Rockwell Bold"/>
          <w:b/>
          <w:bCs/>
          <w:color w:val="000000"/>
          <w:sz w:val="24"/>
          <w:szCs w:val="24"/>
        </w:rPr>
        <w:t>Reichweite</w:t>
      </w:r>
      <w:r>
        <w:rPr>
          <w:rFonts w:ascii="Rockwell" w:hAnsi="Rockwell" w:cs="Rockwell" w:eastAsia="Rockwell"/>
          <w:color w:val="000000"/>
          <w:sz w:val="24"/>
          <w:szCs w:val="24"/>
        </w:rPr>
        <w:t xml:space="preserve">: Steigerung um 50 %.
</w:t>
      </w:r>
    </w:p>
    <w:p>
      <w:pPr>
        <w:numPr>
          <w:ilvl w:val="0"/>
          <w:numId w:val="46"/>
        </w:numPr>
        <w:spacing w:after="0" w:before="0" w:line="336" w:lineRule="auto"/>
        <w:jc w:val="start"/>
      </w:pPr>
      <w:r>
        <w:rPr>
          <w:rFonts w:ascii="Rockwell Bold" w:hAnsi="Rockwell Bold" w:cs="Rockwell Bold" w:eastAsia="Rockwell Bold"/>
          <w:b/>
          <w:bCs/>
          <w:color w:val="000000"/>
          <w:sz w:val="24"/>
          <w:szCs w:val="24"/>
        </w:rPr>
        <w:t>Follower-Wachstum</w:t>
      </w:r>
      <w:r>
        <w:rPr>
          <w:rFonts w:ascii="Rockwell" w:hAnsi="Rockwell" w:cs="Rockwell" w:eastAsia="Rockwell"/>
          <w:color w:val="000000"/>
          <w:sz w:val="24"/>
          <w:szCs w:val="24"/>
        </w:rPr>
        <w:t xml:space="preserve">: Gewinnung von 10.000 neuen Followern.
</w:t>
      </w:r>
    </w:p>
    <w:p>
      <w:pPr>
        <w:numPr>
          <w:ilvl w:val="0"/>
          <w:numId w:val="46"/>
        </w:numPr>
        <w:spacing w:after="0" w:before="0" w:line="336" w:lineRule="auto"/>
        <w:jc w:val="start"/>
      </w:pPr>
      <w:r>
        <w:rPr>
          <w:rFonts w:ascii="Rockwell Bold" w:hAnsi="Rockwell Bold" w:cs="Rockwell Bold" w:eastAsia="Rockwell Bold"/>
          <w:b/>
          <w:bCs/>
          <w:color w:val="000000"/>
          <w:sz w:val="24"/>
          <w:szCs w:val="24"/>
        </w:rPr>
        <w:t>Markenbekanntheit</w:t>
      </w:r>
      <w:r>
        <w:rPr>
          <w:rFonts w:ascii="Rockwell" w:hAnsi="Rockwell" w:cs="Rockwell" w:eastAsia="Rockwell"/>
          <w:color w:val="000000"/>
          <w:sz w:val="24"/>
          <w:szCs w:val="24"/>
        </w:rPr>
        <w:t xml:space="preserve">: Signifikante Erhöhung der Markenbekanntheit bei der Zielgruppe.
</w:t>
      </w:r>
    </w:p>
    <w:p>
      <w:pPr>
        <w:spacing w:after="120" w:before="120" w:line="336" w:lineRule="auto"/>
        <w:ind w:firstLine="0" w:start="0"/>
        <w:jc w:val="start"/>
      </w:pPr>
      <w:r>
        <w:rPr>
          <w:rFonts w:ascii="Rockwell" w:hAnsi="Rockwell" w:cs="Rockwell" w:eastAsia="Rockwell"/>
          <w:color w:val="000000"/>
          <w:sz w:val="36"/>
          <w:szCs w:val="36"/>
        </w:rPr>
        <w:t xml:space="preserve">8) Bewertungsmetriken
</w:t>
      </w:r>
    </w:p>
    <w:p>
      <w:pPr>
        <w:numPr>
          <w:ilvl w:val="0"/>
          <w:numId w:val="47"/>
        </w:numPr>
        <w:spacing w:after="0" w:before="0" w:line="336" w:lineRule="auto"/>
        <w:jc w:val="start"/>
      </w:pPr>
      <w:r>
        <w:rPr>
          <w:rFonts w:ascii="Rockwell Bold" w:hAnsi="Rockwell Bold" w:cs="Rockwell Bold" w:eastAsia="Rockwell Bold"/>
          <w:b/>
          <w:bCs/>
          <w:color w:val="000000"/>
          <w:sz w:val="24"/>
          <w:szCs w:val="24"/>
        </w:rPr>
        <w:t>Engagement-Rate</w:t>
      </w:r>
      <w:r>
        <w:rPr>
          <w:rFonts w:ascii="Rockwell" w:hAnsi="Rockwell" w:cs="Rockwell" w:eastAsia="Rockwell"/>
          <w:color w:val="000000"/>
          <w:sz w:val="24"/>
          <w:szCs w:val="24"/>
        </w:rPr>
        <w:t xml:space="preserve">: Gesamtzahl der Interaktionen geteilt durch die Reichweite.
</w:t>
      </w:r>
    </w:p>
    <w:p>
      <w:pPr>
        <w:numPr>
          <w:ilvl w:val="0"/>
          <w:numId w:val="47"/>
        </w:numPr>
        <w:spacing w:after="0" w:before="0" w:line="336" w:lineRule="auto"/>
        <w:jc w:val="start"/>
      </w:pPr>
      <w:r>
        <w:rPr>
          <w:rFonts w:ascii="Rockwell Bold" w:hAnsi="Rockwell Bold" w:cs="Rockwell Bold" w:eastAsia="Rockwell Bold"/>
          <w:b/>
          <w:bCs/>
          <w:color w:val="000000"/>
          <w:sz w:val="24"/>
          <w:szCs w:val="24"/>
        </w:rPr>
        <w:t>Follower-Wachstum</w:t>
      </w:r>
      <w:r>
        <w:rPr>
          <w:rFonts w:ascii="Rockwell" w:hAnsi="Rockwell" w:cs="Rockwell" w:eastAsia="Rockwell"/>
          <w:color w:val="000000"/>
          <w:sz w:val="24"/>
          <w:szCs w:val="24"/>
        </w:rPr>
        <w:t xml:space="preserve">: Nettozuwachs an Followern während der Kampagnenlaufzeit.
</w:t>
      </w:r>
    </w:p>
    <w:p>
      <w:pPr>
        <w:numPr>
          <w:ilvl w:val="0"/>
          <w:numId w:val="47"/>
        </w:numPr>
        <w:spacing w:after="0" w:before="0" w:line="336" w:lineRule="auto"/>
        <w:jc w:val="start"/>
      </w:pPr>
      <w:r>
        <w:rPr>
          <w:rFonts w:ascii="Rockwell Bold" w:hAnsi="Rockwell Bold" w:cs="Rockwell Bold" w:eastAsia="Rockwell Bold"/>
          <w:b/>
          <w:bCs/>
          <w:color w:val="000000"/>
          <w:sz w:val="24"/>
          <w:szCs w:val="24"/>
        </w:rPr>
        <w:t>Reichweite und Impressionen</w:t>
      </w:r>
      <w:r>
        <w:rPr>
          <w:rFonts w:ascii="Rockwell" w:hAnsi="Rockwell" w:cs="Rockwell" w:eastAsia="Rockwell"/>
          <w:color w:val="000000"/>
          <w:sz w:val="24"/>
          <w:szCs w:val="24"/>
        </w:rPr>
        <w:t xml:space="preserve">: Anzahl der einzigartigen Nutzer, die die Inhalte gesehen haben.
</w:t>
      </w:r>
    </w:p>
    <w:p>
      <w:pPr>
        <w:numPr>
          <w:ilvl w:val="0"/>
          <w:numId w:val="47"/>
        </w:numPr>
        <w:spacing w:after="0" w:before="0" w:line="336" w:lineRule="auto"/>
        <w:jc w:val="start"/>
      </w:pPr>
      <w:r>
        <w:rPr>
          <w:rFonts w:ascii="Rockwell Bold" w:hAnsi="Rockwell Bold" w:cs="Rockwell Bold" w:eastAsia="Rockwell Bold"/>
          <w:b/>
          <w:bCs/>
          <w:color w:val="000000"/>
          <w:sz w:val="24"/>
          <w:szCs w:val="24"/>
        </w:rPr>
        <w:t>ROI (Return on Investment)</w:t>
      </w:r>
      <w:r>
        <w:rPr>
          <w:rFonts w:ascii="Rockwell" w:hAnsi="Rockwell" w:cs="Rockwell" w:eastAsia="Rockwell"/>
          <w:color w:val="000000"/>
          <w:sz w:val="24"/>
          <w:szCs w:val="24"/>
        </w:rPr>
        <w:t xml:space="preserve">: Vergleich der generierten Einnahmen durch die Kampagne mit den Investitionskosten.
</w:t>
      </w:r>
    </w:p>
    <w:p>
      <w:pPr>
        <w:spacing w:after="120" w:before="120" w:line="336" w:lineRule="auto"/>
        <w:ind w:firstLine="0" w:start="0"/>
        <w:jc w:val="start"/>
      </w:pPr>
      <w:r>
        <w:rPr>
          <w:rFonts w:ascii="Rockwell" w:hAnsi="Rockwell" w:cs="Rockwell" w:eastAsia="Rockwell"/>
          <w:color w:val="000000"/>
          <w:sz w:val="24"/>
          <w:szCs w:val="24"/>
        </w:rPr>
        <w:t>Dieser Projektvorschlag bietet einen strukturierten Ansatz, um das Engagement in den sozialen Medien zu steigern und die Marke nachhaltig zu stärken. Durch die Kombination effektiver Strategien und klarer Metriken erwarten wir einen signifikanten ROI und eine Verbesserung der Markenwahrnehmung.</w:t>
      </w:r>
      <w:r>
        <w:rPr>
          <w:rFonts w:ascii="Rockwell" w:hAnsi="Rockwell" w:cs="Rockwell" w:eastAsia="Rockwell"/>
          <w:color w:val="000000"/>
          <w:sz w:val="64"/>
          <w:szCs w:val="6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Bold Italics">
    <w:panose1 w:val="020B0704020202090204"/>
    <w:charset w:characterSet="1"/>
    <w:embedBoldItalic r:id="rId2"/>
  </w:font>
  <w:font w:name="Arimo Bold">
    <w:panose1 w:val="020B0704020202020204"/>
    <w:charset w:characterSet="1"/>
    <w:embedBold r:id="rId3"/>
  </w:font>
  <w:font w:name="Arimo">
    <w:panose1 w:val="020B0604020202020204"/>
    <w:charset w:characterSet="1"/>
    <w:embedRegular r:id="rId4"/>
  </w:font>
  <w:font w:name="Rockwell Light">
    <w:panose1 w:val="02040303020102020203"/>
    <w:charset w:characterSet="1"/>
  </w:font>
  <w:font w:name="Rockwell Ultra-Bold">
    <w:panose1 w:val="02060A07050405020104"/>
    <w:charset w:characterSet="1"/>
  </w:font>
  <w:font w:name="Rockwell Italics">
    <w:panose1 w:val="02060603030405090103"/>
    <w:charset w:characterSet="1"/>
  </w:font>
  <w:font w:name="Rockwell Bold Italics">
    <w:panose1 w:val="02060803030405090103"/>
    <w:charset w:characterSet="1"/>
  </w:font>
  <w:font w:name="Rockwell Light Italics">
    <w:panose1 w:val="02040303020102090203"/>
    <w:charset w:characterSet="1"/>
  </w:font>
  <w:font w:name="Rockwell Bold">
    <w:panose1 w:val="02060803030405020103"/>
    <w:charset w:characterSet="1"/>
  </w:font>
  <w:font w:name="Rockwell">
    <w:panose1 w:val="02060603030405020103"/>
    <w:charset w:characterSet="1"/>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9">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1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2">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2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http://uwerosenkranz.com/wp/Rosary/bio-app/" TargetMode="External" Type="http://schemas.openxmlformats.org/officeDocument/2006/relationships/hyperlink"/><Relationship Id="rId11" Target="http://uwerosenkranz.com/wp/Rosary/cultfood/" TargetMode="External" Type="http://schemas.openxmlformats.org/officeDocument/2006/relationships/hyperlink"/><Relationship Id="rId12" Target="http://uwerosenkranz.com/wp/Rosary/culture/" TargetMode="External" Type="http://schemas.openxmlformats.org/officeDocument/2006/relationships/hyperlink"/><Relationship Id="rId13" Target="http://uwerosenkranz.com/wp/Rosary/diversity/" TargetMode="External" Type="http://schemas.openxmlformats.org/officeDocument/2006/relationships/hyperlink"/><Relationship Id="rId14" Target="http://uwerosenkranz.com/wp/Rosary/flut/" TargetMode="External" Type="http://schemas.openxmlformats.org/officeDocument/2006/relationships/hyperlink"/><Relationship Id="rId15" Target="http://uwerosenkranz.com/wp/Rosary/forschung/" TargetMode="External" Type="http://schemas.openxmlformats.org/officeDocument/2006/relationships/hyperlink"/><Relationship Id="rId16" Target="http://uwerosenkranz.com/wp/Rosary/frieden/" TargetMode="External" Type="http://schemas.openxmlformats.org/officeDocument/2006/relationships/hyperlink"/><Relationship Id="rId17" Target="http://uwerosenkranz.com/wp/Rosary/heilen/" TargetMode="External" Type="http://schemas.openxmlformats.org/officeDocument/2006/relationships/hyperlink"/><Relationship Id="rId18" Target="http://uwerosenkranz.com/wp/Rosary/hochwasser/" TargetMode="External" Type="http://schemas.openxmlformats.org/officeDocument/2006/relationships/hyperlink"/><Relationship Id="rId19" Target="http://uwerosenkranz.com/wp/Rosary/holy-rosary-church/" TargetMode="External" Type="http://schemas.openxmlformats.org/officeDocument/2006/relationships/hyperlink"/><Relationship Id="rId2" Target="fontTable.xml" Type="http://schemas.openxmlformats.org/officeDocument/2006/relationships/fontTable"/><Relationship Id="rId20" Target="http://uwerosenkranz.com/wp/Rosary/ki/" TargetMode="External" Type="http://schemas.openxmlformats.org/officeDocument/2006/relationships/hyperlink"/><Relationship Id="rId21" Target="http://uwerosenkranz.com/wp/Rosary/klima/" TargetMode="External" Type="http://schemas.openxmlformats.org/officeDocument/2006/relationships/hyperlink"/><Relationship Id="rId22" Target="http://uwerosenkranz.com/wp/Rosary/kultur/" TargetMode="External" Type="http://schemas.openxmlformats.org/officeDocument/2006/relationships/hyperlink"/><Relationship Id="rId23" Target="http://uwerosenkranz.com/wp/Rosary/kuenstliche-intelligenz/" TargetMode="External" Type="http://schemas.openxmlformats.org/officeDocument/2006/relationships/hyperlink"/><Relationship Id="rId24" Target="http://uwerosenkranz.com/wp/Rosary/leben-beschuetzen/" TargetMode="External" Type="http://schemas.openxmlformats.org/officeDocument/2006/relationships/hyperlink"/><Relationship Id="rId25" Target="http://uwerosenkranz.com/wp/Rosary/lifestyle/" TargetMode="External" Type="http://schemas.openxmlformats.org/officeDocument/2006/relationships/hyperlink"/><Relationship Id="rId26" Target="http://uwerosenkranz.com/wp/Rosary/mission/" TargetMode="External" Type="http://schemas.openxmlformats.org/officeDocument/2006/relationships/hyperlink"/><Relationship Id="rId27" Target="http://uwerosenkranz.com/wp/Rosary/neue-erde/" TargetMode="External" Type="http://schemas.openxmlformats.org/officeDocument/2006/relationships/hyperlink"/><Relationship Id="rId28" Target="http://uwerosenkranz.com/wp/Rosary/rosarium/" TargetMode="External" Type="http://schemas.openxmlformats.org/officeDocument/2006/relationships/hyperlink"/><Relationship Id="rId29" Target="http://uwerosenkranz.com/wp/Rosary/rosary/" TargetMode="External" Type="http://schemas.openxmlformats.org/officeDocument/2006/relationships/hyperlink"/><Relationship Id="rId3" Target="http://uwerosenkranz.com/wp/Rosary/ai/" TargetMode="External" Type="http://schemas.openxmlformats.org/officeDocument/2006/relationships/hyperlink"/><Relationship Id="rId30" Target="http://uwerosenkranz.com/wp/Rosary/rosenkranz/" TargetMode="External" Type="http://schemas.openxmlformats.org/officeDocument/2006/relationships/hyperlink"/><Relationship Id="rId31" Target="http://uwerosenkranz.com/wp/Rosary/sustainability/" TargetMode="External" Type="http://schemas.openxmlformats.org/officeDocument/2006/relationships/hyperlink"/><Relationship Id="rId32" Target="http://uwerosenkranz.com/wp/author/admin/" TargetMode="External" Type="http://schemas.openxmlformats.org/officeDocument/2006/relationships/hyperlink"/><Relationship Id="rId33" Target="http://uwerosenkranz.com/wp/1124/" TargetMode="External" Type="http://schemas.openxmlformats.org/officeDocument/2006/relationships/hyperlink"/><Relationship Id="rId34" Target="http://uwerosenkranz.com/wp/1124/#respond" TargetMode="External" Type="http://schemas.openxmlformats.org/officeDocument/2006/relationships/hyperlink"/><Relationship Id="rId35" Target="numbering.xml" Type="http://schemas.openxmlformats.org/officeDocument/2006/relationships/numbering"/><Relationship Id="rId36" Target="media/image1.jpeg" Type="http://schemas.openxmlformats.org/officeDocument/2006/relationships/image"/><Relationship Id="rId37" Target="media/image2.png" Type="http://schemas.openxmlformats.org/officeDocument/2006/relationships/image"/><Relationship Id="rId38" Target="media/image3.png" Type="http://schemas.openxmlformats.org/officeDocument/2006/relationships/image"/><Relationship Id="rId39" Target="media/image4.png" Type="http://schemas.openxmlformats.org/officeDocument/2006/relationships/image"/><Relationship Id="rId4" Target="http://uwerosenkranz.com/wp/Rosary/allgorythmus/" TargetMode="External" Type="http://schemas.openxmlformats.org/officeDocument/2006/relationships/hyperlink"/><Relationship Id="rId40" Target="media/image5.png" Type="http://schemas.openxmlformats.org/officeDocument/2006/relationships/image"/><Relationship Id="rId41" Target="media/image6.png" Type="http://schemas.openxmlformats.org/officeDocument/2006/relationships/image"/><Relationship Id="rId42" Target="media/image7.png" Type="http://schemas.openxmlformats.org/officeDocument/2006/relationships/image"/><Relationship Id="rId43" Target="media/image8.png" Type="http://schemas.openxmlformats.org/officeDocument/2006/relationships/image"/><Relationship Id="rId44" Target="media/image9.png" Type="http://schemas.openxmlformats.org/officeDocument/2006/relationships/image"/><Relationship Id="rId45" Target="media/image10.png" Type="http://schemas.openxmlformats.org/officeDocument/2006/relationships/image"/><Relationship Id="rId46" Target="media/image11.png" Type="http://schemas.openxmlformats.org/officeDocument/2006/relationships/image"/><Relationship Id="rId47" Target="media/image12.png" Type="http://schemas.openxmlformats.org/officeDocument/2006/relationships/image"/><Relationship Id="rId48" Target="media/image13.png" Type="http://schemas.openxmlformats.org/officeDocument/2006/relationships/image"/><Relationship Id="rId49" Target="media/image14.png" Type="http://schemas.openxmlformats.org/officeDocument/2006/relationships/image"/><Relationship Id="rId5" Target="http://uwerosenkranz.com/wp/Rosary/arbeiten-und-beten/" TargetMode="External" Type="http://schemas.openxmlformats.org/officeDocument/2006/relationships/hyperlink"/><Relationship Id="rId50" Target="media/image15.png" Type="http://schemas.openxmlformats.org/officeDocument/2006/relationships/image"/><Relationship Id="rId51" Target="media/image16.png" Type="http://schemas.openxmlformats.org/officeDocument/2006/relationships/image"/><Relationship Id="rId52" Target="media/image17.png" Type="http://schemas.openxmlformats.org/officeDocument/2006/relationships/image"/><Relationship Id="rId53" Target="media/image18.png" Type="http://schemas.openxmlformats.org/officeDocument/2006/relationships/image"/><Relationship Id="rId54" Target="media/image19.png" Type="http://schemas.openxmlformats.org/officeDocument/2006/relationships/image"/><Relationship Id="rId55" Target="media/image20.png" Type="http://schemas.openxmlformats.org/officeDocument/2006/relationships/image"/><Relationship Id="rId56" Target="media/image21.png" Type="http://schemas.openxmlformats.org/officeDocument/2006/relationships/image"/><Relationship Id="rId6" Target="http://uwerosenkranz.com/wp/Rosary/archeologie/" TargetMode="External" Type="http://schemas.openxmlformats.org/officeDocument/2006/relationships/hyperlink"/><Relationship Id="rId7" Target="http://uwerosenkranz.com/wp/Rosary/artificial-intelligence/" TargetMode="External" Type="http://schemas.openxmlformats.org/officeDocument/2006/relationships/hyperlink"/><Relationship Id="rId8" Target="http://uwerosenkranz.com/wp/Rosary/bildung/" TargetMode="External" Type="http://schemas.openxmlformats.org/officeDocument/2006/relationships/hyperlink"/><Relationship Id="rId9" Target="http://uwerosenkranz.com/wp/Rosary/bio/" TargetMode="External" Type="http://schemas.openxmlformats.org/officeDocument/2006/relationships/hyperlink"/></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2025-02-26T10:49:52Z</dcterms:created>
  <dc:creator>Apache POI</dc:creator>
</cp:coreProperties>
</file>